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POL-02 — Credit Exposure Policy</w:t>
      </w:r>
    </w:p>
    <w:p>
      <w:pPr>
        <w:jc w:val="center"/>
      </w:pPr>
      <w:r>
        <w:rPr>
          <w:b/>
        </w:rPr>
        <w:t>Version 2026.1 • SYNTHETIC POLICY – RESEARCH USE ONLY</w:t>
      </w:r>
    </w:p>
    <w:p>
      <w:pPr>
        <w:pStyle w:val="Heading1"/>
      </w:pPr>
      <w:r>
        <w:t>Purpose</w:t>
      </w:r>
    </w:p>
    <w:p>
      <w:r>
        <w:t>Assess requested credit relative to annual applicant income.</w:t>
      </w:r>
    </w:p>
    <w:p>
      <w:pPr>
        <w:pStyle w:val="Heading1"/>
      </w:pPr>
      <w:r>
        <w:t>Home Credit Fields Used</w:t>
      </w:r>
    </w:p>
    <w:p>
      <w:r>
        <w:t>AMT_CREDIT; AMT_INCOME_TOTAL</w:t>
      </w:r>
    </w:p>
    <w:p>
      <w:pPr>
        <w:pStyle w:val="Heading1"/>
      </w:pPr>
      <w:r>
        <w:t>Measure</w:t>
      </w:r>
    </w:p>
    <w:p>
      <w:r>
        <w:t>CTI = AMT_CREDIT ÷ AMT_INCOME_TOTAL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CTI ≤ 3.0x</w:t>
            </w:r>
          </w:p>
        </w:tc>
        <w:tc>
          <w:tcPr>
            <w:tcW w:type="dxa" w:w="3408"/>
          </w:tcPr>
          <w:p>
            <w:r>
              <w:t>Standard</w:t>
            </w:r>
          </w:p>
        </w:tc>
        <w:tc>
          <w:tcPr>
            <w:tcW w:type="dxa" w:w="3408"/>
          </w:tcPr>
          <w:p>
            <w:r>
              <w:t>No exposure exception</w:t>
            </w:r>
          </w:p>
        </w:tc>
      </w:tr>
      <w:tr>
        <w:tc>
          <w:tcPr>
            <w:tcW w:type="dxa" w:w="3408"/>
          </w:tcPr>
          <w:p>
            <w:r>
              <w:t>CTI &gt;3.0x to ≤5.0x</w:t>
            </w:r>
          </w:p>
        </w:tc>
        <w:tc>
          <w:tcPr>
            <w:tcW w:type="dxa" w:w="3408"/>
          </w:tcPr>
          <w:p>
            <w:r>
              <w:t>Enhanced Review</w:t>
            </w:r>
          </w:p>
        </w:tc>
        <w:tc>
          <w:tcPr>
            <w:tcW w:type="dxa" w:w="3408"/>
          </w:tcPr>
          <w:p>
            <w:r>
              <w:t>Additional exposure review</w:t>
            </w:r>
          </w:p>
        </w:tc>
      </w:tr>
      <w:tr>
        <w:tc>
          <w:tcPr>
            <w:tcW w:type="dxa" w:w="3408"/>
          </w:tcPr>
          <w:p>
            <w:r>
              <w:t>CTI &gt;5.0x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exposure concern</w:t>
            </w:r>
          </w:p>
        </w:tc>
      </w:tr>
    </w:tbl>
    <w:p>
      <w:pPr>
        <w:pStyle w:val="Heading1"/>
      </w:pPr>
      <w:r>
        <w:t>Research Note</w:t>
      </w:r>
    </w:p>
    <w:p>
      <w:r>
        <w:t>Current version. This is the default applicable policy.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