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POL-04 — Credit Risk Rating Policy</w:t>
      </w:r>
    </w:p>
    <w:p>
      <w:pPr>
        <w:jc w:val="center"/>
      </w:pPr>
      <w:r>
        <w:rPr>
          <w:b/>
        </w:rPr>
        <w:t>Version 2026.1 • SYNTHETIC POLICY – RESEARCH USE ONLY</w:t>
      </w:r>
    </w:p>
    <w:p>
      <w:pPr>
        <w:pStyle w:val="Heading1"/>
      </w:pPr>
      <w:r>
        <w:t>Purpose</w:t>
      </w:r>
    </w:p>
    <w:p>
      <w:r>
        <w:t>Classify applicant credit risk using the frozen model PD.</w:t>
      </w:r>
    </w:p>
    <w:p>
      <w:pPr>
        <w:pStyle w:val="Heading1"/>
      </w:pPr>
      <w:r>
        <w:t>Home Credit Fields Used</w:t>
      </w:r>
    </w:p>
    <w:p>
      <w:r>
        <w:t>Predicted PD from project PD model</w:t>
      </w:r>
    </w:p>
    <w:p>
      <w:pPr>
        <w:pStyle w:val="Heading1"/>
      </w:pPr>
      <w:r>
        <w:t>Measure</w:t>
      </w:r>
    </w:p>
    <w:p>
      <w:r>
        <w:t>PD = frozen predicted probability of default</w:t>
      </w:r>
    </w:p>
    <w:p>
      <w:pPr>
        <w:pStyle w:val="Heading1"/>
      </w:pPr>
      <w:r>
        <w:t>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Condition</w:t>
            </w:r>
          </w:p>
        </w:tc>
        <w:tc>
          <w:tcPr>
            <w:tcW w:type="dxa" w:w="3408"/>
            <w:shd w:fill="D9EAF7"/>
          </w:tcPr>
          <w:p>
            <w:r>
              <w:t>Classification</w:t>
            </w:r>
          </w:p>
        </w:tc>
        <w:tc>
          <w:tcPr>
            <w:tcW w:type="dxa" w:w="3408"/>
            <w:shd w:fill="D9EAF7"/>
          </w:tcPr>
          <w:p>
            <w:r>
              <w:t>Treatment</w:t>
            </w:r>
          </w:p>
        </w:tc>
      </w:tr>
      <w:tr>
        <w:tc>
          <w:tcPr>
            <w:tcW w:type="dxa" w:w="3408"/>
          </w:tcPr>
          <w:p>
            <w:r>
              <w:t>PD &lt;2%</w:t>
            </w:r>
          </w:p>
        </w:tc>
        <w:tc>
          <w:tcPr>
            <w:tcW w:type="dxa" w:w="3408"/>
          </w:tcPr>
          <w:p>
            <w:r>
              <w:t>Low</w:t>
            </w:r>
          </w:p>
        </w:tc>
        <w:tc>
          <w:tcPr>
            <w:tcW w:type="dxa" w:w="3408"/>
          </w:tcPr>
          <w:p>
            <w:r>
              <w:t>Standard modeled risk</w:t>
            </w:r>
          </w:p>
        </w:tc>
      </w:tr>
      <w:tr>
        <w:tc>
          <w:tcPr>
            <w:tcW w:type="dxa" w:w="3408"/>
          </w:tcPr>
          <w:p>
            <w:r>
              <w:t>PD ≥2% to &lt;5%</w:t>
            </w:r>
          </w:p>
        </w:tc>
        <w:tc>
          <w:tcPr>
            <w:tcW w:type="dxa" w:w="3408"/>
          </w:tcPr>
          <w:p>
            <w:r>
              <w:t>Moderate</w:t>
            </w:r>
          </w:p>
        </w:tc>
        <w:tc>
          <w:tcPr>
            <w:tcW w:type="dxa" w:w="3408"/>
          </w:tcPr>
          <w:p>
            <w:r>
              <w:t>Moderate modeled risk</w:t>
            </w:r>
          </w:p>
        </w:tc>
      </w:tr>
      <w:tr>
        <w:tc>
          <w:tcPr>
            <w:tcW w:type="dxa" w:w="3408"/>
          </w:tcPr>
          <w:p>
            <w:r>
              <w:t>PD ≥5% to &lt;7%</w:t>
            </w:r>
          </w:p>
        </w:tc>
        <w:tc>
          <w:tcPr>
            <w:tcW w:type="dxa" w:w="3408"/>
          </w:tcPr>
          <w:p>
            <w:r>
              <w:t>Elevated</w:t>
            </w:r>
          </w:p>
        </w:tc>
        <w:tc>
          <w:tcPr>
            <w:tcW w:type="dxa" w:w="3408"/>
          </w:tcPr>
          <w:p>
            <w:r>
              <w:t>Enhanced review</w:t>
            </w:r>
          </w:p>
        </w:tc>
      </w:tr>
      <w:tr>
        <w:tc>
          <w:tcPr>
            <w:tcW w:type="dxa" w:w="3408"/>
          </w:tcPr>
          <w:p>
            <w:r>
              <w:t>PD ≥7%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Material modeled credit-risk concern</w:t>
            </w:r>
          </w:p>
        </w:tc>
      </w:tr>
    </w:tbl>
    <w:p>
      <w:pPr>
        <w:pStyle w:val="Heading1"/>
      </w:pPr>
      <w:r>
        <w:t>Research Note</w:t>
      </w:r>
    </w:p>
    <w:p>
      <w:r>
        <w:t>The same borrower PD remains frozen across all runtime experiments.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