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SYNTHETIC POLICY - RESEARCH USE ONLY</w:t>
      </w:r>
    </w:p>
    <w:p>
      <w:pPr>
        <w:pStyle w:val="Title"/>
        <w:jc w:val="center"/>
      </w:pPr>
      <w:r>
        <w:t>Commercial Lending Policy</w:t>
      </w:r>
    </w:p>
    <w:p>
      <w:pPr>
        <w:jc w:val="center"/>
      </w:pPr>
      <w:r>
        <w:rPr>
          <w:i/>
        </w:rPr>
        <w:t>Northstar Bank (Synthetic Research Environment)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t>Policy ID</w:t>
            </w:r>
          </w:p>
        </w:tc>
        <w:tc>
          <w:tcPr>
            <w:tcW w:type="dxa" w:w="5112"/>
          </w:tcPr>
          <w:p>
            <w:r>
              <w:t>POL-01</w:t>
            </w:r>
          </w:p>
        </w:tc>
      </w:tr>
      <w:tr>
        <w:tc>
          <w:tcPr>
            <w:tcW w:type="dxa" w:w="5112"/>
          </w:tcPr>
          <w:p>
            <w:r>
              <w:t>Version</w:t>
            </w:r>
          </w:p>
        </w:tc>
        <w:tc>
          <w:tcPr>
            <w:tcW w:type="dxa" w:w="5112"/>
          </w:tcPr>
          <w:p>
            <w:r>
              <w:t>2025.1</w:t>
            </w:r>
          </w:p>
        </w:tc>
      </w:tr>
      <w:tr>
        <w:tc>
          <w:tcPr>
            <w:tcW w:type="dxa" w:w="5112"/>
          </w:tcPr>
          <w:p>
            <w:r>
              <w:t>Effective date</w:t>
            </w:r>
          </w:p>
        </w:tc>
        <w:tc>
          <w:tcPr>
            <w:tcW w:type="dxa" w:w="5112"/>
          </w:tcPr>
          <w:p>
            <w:r>
              <w:t>2025-01-01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SUPERSEDED / HISTORICAL</w:t>
            </w:r>
          </w:p>
        </w:tc>
      </w:tr>
      <w:tr>
        <w:tc>
          <w:tcPr>
            <w:tcW w:type="dxa" w:w="5112"/>
          </w:tcPr>
          <w:p>
            <w:r>
              <w:t>Document type</w:t>
            </w:r>
          </w:p>
        </w:tc>
        <w:tc>
          <w:tcPr>
            <w:tcW w:type="dxa" w:w="5112"/>
          </w:tcPr>
          <w:p>
            <w:r>
              <w:t>Synthetic banking policy for controlled GenAI/RAG research</w:t>
            </w:r>
          </w:p>
        </w:tc>
      </w:tr>
    </w:tbl>
    <w:p>
      <w:pPr>
        <w:pStyle w:val="Heading1"/>
      </w:pPr>
      <w:r>
        <w:t>1. Purpose</w:t>
      </w:r>
    </w:p>
    <w:p>
      <w:r>
        <w:t>Provides the prior-year core underwriting expectations retained only for controlled version-sensitivity testing.</w:t>
      </w:r>
    </w:p>
    <w:p>
      <w:pPr>
        <w:pStyle w:val="Heading1"/>
      </w:pPr>
      <w:r>
        <w:t>2. Scope</w:t>
      </w:r>
    </w:p>
    <w:p>
      <w:r>
        <w:t>Historical synthetic commercial term loans and revolving credit facilities. This version is superseded for 2026 decisions.</w:t>
      </w:r>
    </w:p>
    <w:p>
      <w:pPr>
        <w:pStyle w:val="Heading1"/>
      </w:pPr>
      <w:r>
        <w:t>3. Policy Rules</w:t>
      </w:r>
    </w:p>
    <w:p>
      <w:r>
        <w:rPr>
          <w:b/>
        </w:rPr>
        <w:t xml:space="preserve">3.1 Leverage. </w:t>
      </w:r>
      <w:r>
        <w:t>Debt-to-EBITDA at or below 4.50x is within standard tolerance. Above 4.50x requires enhanced review. Above 5.00x requires a documented policy exception and Senior Credit Officer approval.</w:t>
      </w:r>
    </w:p>
    <w:p>
      <w:r>
        <w:rPr>
          <w:b/>
        </w:rPr>
        <w:t xml:space="preserve">3.2 Debt service capacity. </w:t>
      </w:r>
      <w:r>
        <w:t>DSCR should be at least 1.15x for standard approval. DSCR from 1.00x to below 1.15x requires conditions or an approved exception. Below 1.00x is normally outside appetite.</w:t>
      </w:r>
    </w:p>
    <w:p>
      <w:r>
        <w:rPr>
          <w:b/>
        </w:rPr>
        <w:t xml:space="preserve">3.3 Liquidity. </w:t>
      </w:r>
      <w:r>
        <w:t>A current ratio of at least 1.15x is preferred. Lower liquidity must be considered with other risk factors and mitigants.</w:t>
      </w:r>
    </w:p>
    <w:p>
      <w:r>
        <w:rPr>
          <w:b/>
        </w:rPr>
        <w:t xml:space="preserve">3.4 Risk decision. </w:t>
      </w:r>
      <w:r>
        <w:t>The full borrower profile should be considered and policy exceptions must follow the documented approval process.</w:t>
      </w:r>
    </w:p>
    <w:p>
      <w:pPr>
        <w:pStyle w:val="Heading1"/>
      </w:pPr>
      <w:r>
        <w:t>4. Exceptions and Escalation</w:t>
      </w:r>
    </w:p>
    <w:p>
      <w:pPr>
        <w:pStyle w:val="ListBullet"/>
      </w:pPr>
      <w:r>
        <w:t>This document is not applicable to synthetic decisions with an evaluation date on or after 2026-01-01.</w:t>
      </w:r>
    </w:p>
    <w:p>
      <w:pPr>
        <w:pStyle w:val="ListBullet"/>
      </w:pPr>
      <w:r>
        <w:t>Historical rules may be used only when the experiment explicitly selects the historical knowledge source.</w:t>
      </w:r>
    </w:p>
    <w:p>
      <w:pPr>
        <w:pStyle w:val="Heading1"/>
      </w:pPr>
      <w:r>
        <w:t>5. RAG Retrieval Terms</w:t>
      </w:r>
    </w:p>
    <w:p>
      <w:r>
        <w:t>commercial lending, historical policy, leverage, DSCR, 2025, superseded</w:t>
      </w:r>
    </w:p>
    <w:p>
      <w:pPr>
        <w:pStyle w:val="Heading1"/>
      </w:pPr>
      <w:r>
        <w:t>6. Version Note</w:t>
      </w:r>
    </w:p>
    <w:p>
      <w:r>
        <w:t>This is the controlled historical version. It is intentionally less restrictive than Version 2026.1.</w:t>
      </w:r>
    </w:p>
    <w:p/>
    <w:p>
      <w:pPr>
        <w:jc w:val="center"/>
      </w:pPr>
      <w:r>
        <w:rPr>
          <w:i/>
          <w:sz w:val="17"/>
        </w:rPr>
        <w:t>This document is fictional and is not the policy of any real financial institution.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