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SYNTHETIC POLICY - RESEARCH USE ONLY</w:t>
      </w:r>
    </w:p>
    <w:p>
      <w:pPr>
        <w:pStyle w:val="Title"/>
        <w:jc w:val="center"/>
      </w:pPr>
      <w:r>
        <w:t>Commercial Lending Policy</w:t>
      </w:r>
    </w:p>
    <w:p>
      <w:pPr>
        <w:jc w:val="center"/>
      </w:pPr>
      <w:r>
        <w:rPr>
          <w:i/>
        </w:rPr>
        <w:t>Northstar Bank (Synthetic Research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Policy ID</w:t>
            </w:r>
          </w:p>
        </w:tc>
        <w:tc>
          <w:tcPr>
            <w:tcW w:type="dxa" w:w="5112"/>
          </w:tcPr>
          <w:p>
            <w:r>
              <w:t>POL-01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2026.1</w:t>
            </w:r>
          </w:p>
        </w:tc>
      </w:tr>
      <w:tr>
        <w:tc>
          <w:tcPr>
            <w:tcW w:type="dxa" w:w="5112"/>
          </w:tcPr>
          <w:p>
            <w:r>
              <w:t>Effective date</w:t>
            </w:r>
          </w:p>
        </w:tc>
        <w:tc>
          <w:tcPr>
            <w:tcW w:type="dxa" w:w="5112"/>
          </w:tcPr>
          <w:p>
            <w:r>
              <w:t>2026-01-01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CURRENT / APPROVED</w:t>
            </w:r>
          </w:p>
        </w:tc>
      </w:tr>
      <w:tr>
        <w:tc>
          <w:tcPr>
            <w:tcW w:type="dxa" w:w="5112"/>
          </w:tcPr>
          <w:p>
            <w:r>
              <w:t>Document type</w:t>
            </w:r>
          </w:p>
        </w:tc>
        <w:tc>
          <w:tcPr>
            <w:tcW w:type="dxa" w:w="5112"/>
          </w:tcPr>
          <w:p>
            <w:r>
              <w:t>Synthetic banking policy for controlled GenAI/RAG research</w:t>
            </w:r>
          </w:p>
        </w:tc>
      </w:tr>
    </w:tbl>
    <w:p>
      <w:pPr>
        <w:pStyle w:val="Heading1"/>
      </w:pPr>
      <w:r>
        <w:t>1. Purpose</w:t>
      </w:r>
    </w:p>
    <w:p>
      <w:r>
        <w:t>Provides core underwriting expectations for synthetic commercial credit decisions used in the research environment.</w:t>
      </w:r>
    </w:p>
    <w:p>
      <w:pPr>
        <w:pStyle w:val="Heading1"/>
      </w:pPr>
      <w:r>
        <w:t>2. Scope</w:t>
      </w:r>
    </w:p>
    <w:p>
      <w:r>
        <w:t>Applies to synthetic commercial term loans and revolving credit facilities evaluated by the GenAI credit-assessment use case.</w:t>
      </w:r>
    </w:p>
    <w:p>
      <w:pPr>
        <w:pStyle w:val="Heading1"/>
      </w:pPr>
      <w:r>
        <w:t>3. Policy Rules</w:t>
      </w:r>
    </w:p>
    <w:p>
      <w:r>
        <w:rPr>
          <w:b/>
        </w:rPr>
        <w:t xml:space="preserve">3.1 Leverage. </w:t>
      </w:r>
      <w:r>
        <w:t>Debt-to-EBITDA at or below 4.00x is within standard tolerance. Above 4.00x requires enhanced review. Above 4.50x requires a documented policy exception and Senior Credit Officer approval.</w:t>
      </w:r>
    </w:p>
    <w:p>
      <w:r>
        <w:rPr>
          <w:b/>
        </w:rPr>
        <w:t xml:space="preserve">3.2 Debt service capacity. </w:t>
      </w:r>
      <w:r>
        <w:t>DSCR should be at least 1.25x for standard approval. DSCR from 1.10x to below 1.25x requires conditions or an approved exception. Below 1.10x is normally outside appetite.</w:t>
      </w:r>
    </w:p>
    <w:p>
      <w:r>
        <w:rPr>
          <w:b/>
        </w:rPr>
        <w:t xml:space="preserve">3.3 Liquidity. </w:t>
      </w:r>
      <w:r>
        <w:t>A current ratio of at least 1.20x is preferred. Lower liquidity must be considered together with leverage, cash flow, collateral, and mitigants.</w:t>
      </w:r>
    </w:p>
    <w:p>
      <w:r>
        <w:rPr>
          <w:b/>
        </w:rPr>
        <w:t xml:space="preserve">3.4 Risk decision. </w:t>
      </w:r>
      <w:r>
        <w:t>No single metric automatically determines the final decision unless another policy states a hard limit. The assessment must consider the full borrower profile and applicable exception rules.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Policy exceptions must identify the breached rule, rationale, mitigants, and approving authority.</w:t>
      </w:r>
    </w:p>
    <w:p>
      <w:pPr>
        <w:pStyle w:val="ListBullet"/>
      </w:pPr>
      <w:r>
        <w:t>The system must not describe an exception as approved unless evidence of the required approval is present.</w:t>
      </w:r>
    </w:p>
    <w:p>
      <w:pPr>
        <w:pStyle w:val="Heading1"/>
      </w:pPr>
      <w:r>
        <w:t>5. RAG Retrieval Terms</w:t>
      </w:r>
    </w:p>
    <w:p>
      <w:r>
        <w:t>commercial lending, leverage, debt to EBITDA, DSCR, liquidity, credit approval, enhanced review</w:t>
      </w:r>
    </w:p>
    <w:p>
      <w:pPr>
        <w:pStyle w:val="Heading1"/>
      </w:pPr>
      <w:r>
        <w:t>6. Version Note</w:t>
      </w:r>
    </w:p>
    <w:p>
      <w:r>
        <w:t>Compared with Version 2025.1, standard leverage tolerance was tightened from 4.50x to 4.00x and minimum standard DSCR increased from 1.15x to 1.25x.</w:t>
      </w:r>
    </w:p>
    <w:p/>
    <w:p>
      <w:pPr>
        <w:jc w:val="center"/>
      </w:pPr>
      <w:r>
        <w:rPr>
          <w:i/>
          <w:sz w:val="17"/>
        </w:rPr>
        <w:t>This document is fictional and is not the policy of any real financial institution.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