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Credit Risk Rating Policy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POL-02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2025.1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2025-01-01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SUPERSEDED / HISTORICAL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Defines the prior synthetic PD risk-band mapping retained for controlled knowledge-version testing.</w:t>
      </w:r>
    </w:p>
    <w:p>
      <w:pPr>
        <w:pStyle w:val="Heading1"/>
      </w:pPr>
      <w:r>
        <w:t>2. Scope</w:t>
      </w:r>
    </w:p>
    <w:p>
      <w:r>
        <w:t>Historical synthetic research cases only. This version is superseded for 2026 decisions.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PD bands. </w:t>
      </w:r>
      <w:r>
        <w:t>PD below 2.00% = Low; 2.00% to below 5.50% = Moderate; 5.50% to below 8.00% = Elevated / Borderline; 8.00% or higher = High.</w:t>
      </w:r>
    </w:p>
    <w:p>
      <w:r>
        <w:rPr>
          <w:b/>
        </w:rPr>
        <w:t xml:space="preserve">3.2 Decision use. </w:t>
      </w:r>
      <w:r>
        <w:t>PD is one input to the credit decision and should be considered with other financial and policy factors.</w:t>
      </w:r>
    </w:p>
    <w:p>
      <w:r>
        <w:rPr>
          <w:b/>
        </w:rPr>
        <w:t xml:space="preserve">3.3 Boundary cases. </w:t>
      </w:r>
      <w:r>
        <w:t>Cases close to a PD threshold should receive additional review for consistency.</w:t>
      </w:r>
    </w:p>
    <w:p>
      <w:r>
        <w:rPr>
          <w:b/>
        </w:rPr>
        <w:t xml:space="preserve">3.4 Evidence. </w:t>
      </w:r>
      <w:r>
        <w:t>The assessment should use the PD supplied in the borrower record.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This version is not applicable to synthetic decisions dated on or after 2026-01-01 unless the experiment explicitly selects it.</w:t>
      </w:r>
    </w:p>
    <w:p>
      <w:pPr>
        <w:pStyle w:val="Heading1"/>
      </w:pPr>
      <w:r>
        <w:t>5. RAG Retrieval Terms</w:t>
      </w:r>
    </w:p>
    <w:p>
      <w:r>
        <w:t>probability of default, PD, historical risk rating, 2025, borderline, superseded</w:t>
      </w:r>
    </w:p>
    <w:p>
      <w:pPr>
        <w:pStyle w:val="Heading1"/>
      </w:pPr>
      <w:r>
        <w:t>6. Version Note</w:t>
      </w:r>
    </w:p>
    <w:p>
      <w:r>
        <w:t>This controlled historical version uses wider Moderate and Elevated bands than Version 2026.1.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