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SYNTHETIC POLICY - RESEARCH USE ONLY</w:t>
      </w:r>
    </w:p>
    <w:p>
      <w:pPr>
        <w:pStyle w:val="Title"/>
        <w:jc w:val="center"/>
      </w:pPr>
      <w:r>
        <w:t>Financial Covenant Policy</w:t>
      </w:r>
    </w:p>
    <w:p>
      <w:pPr>
        <w:jc w:val="center"/>
      </w:pPr>
      <w:r>
        <w:rPr>
          <w:i/>
        </w:rPr>
        <w:t>Northstar Bank (Synthetic Research 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Policy ID</w:t>
            </w:r>
          </w:p>
        </w:tc>
        <w:tc>
          <w:tcPr>
            <w:tcW w:type="dxa" w:w="5112"/>
          </w:tcPr>
          <w:p>
            <w:r>
              <w:t>POL-03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2025.1</w:t>
            </w:r>
          </w:p>
        </w:tc>
      </w:tr>
      <w:tr>
        <w:tc>
          <w:tcPr>
            <w:tcW w:type="dxa" w:w="5112"/>
          </w:tcPr>
          <w:p>
            <w:r>
              <w:t>Effective date</w:t>
            </w:r>
          </w:p>
        </w:tc>
        <w:tc>
          <w:tcPr>
            <w:tcW w:type="dxa" w:w="5112"/>
          </w:tcPr>
          <w:p>
            <w:r>
              <w:t>2025-01-01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SUPERSEDED / HISTORICAL</w:t>
            </w:r>
          </w:p>
        </w:tc>
      </w:tr>
      <w:tr>
        <w:tc>
          <w:tcPr>
            <w:tcW w:type="dxa" w:w="5112"/>
          </w:tcPr>
          <w:p>
            <w:r>
              <w:t>Document type</w:t>
            </w:r>
          </w:p>
        </w:tc>
        <w:tc>
          <w:tcPr>
            <w:tcW w:type="dxa" w:w="5112"/>
          </w:tcPr>
          <w:p>
            <w:r>
              <w:t>Synthetic banking policy for controlled GenAI/RAG research</w:t>
            </w:r>
          </w:p>
        </w:tc>
      </w:tr>
    </w:tbl>
    <w:p>
      <w:pPr>
        <w:pStyle w:val="Heading1"/>
      </w:pPr>
      <w:r>
        <w:t>1. Purpose</w:t>
      </w:r>
    </w:p>
    <w:p>
      <w:r>
        <w:t>Defines prior synthetic financial covenant expectations retained for controlled version testing.</w:t>
      </w:r>
    </w:p>
    <w:p>
      <w:pPr>
        <w:pStyle w:val="Heading1"/>
      </w:pPr>
      <w:r>
        <w:t>2. Scope</w:t>
      </w:r>
    </w:p>
    <w:p>
      <w:r>
        <w:t>Historical synthetic facilities only; superseded for 2026 decisions.</w:t>
      </w:r>
    </w:p>
    <w:p>
      <w:pPr>
        <w:pStyle w:val="Heading1"/>
      </w:pPr>
      <w:r>
        <w:t>3. Policy Rules</w:t>
      </w:r>
    </w:p>
    <w:p>
      <w:r>
        <w:rPr>
          <w:b/>
        </w:rPr>
        <w:t xml:space="preserve">3.1 DSCR covenant. </w:t>
      </w:r>
      <w:r>
        <w:t>Standard minimum DSCR covenant is 1.15x.</w:t>
      </w:r>
    </w:p>
    <w:p>
      <w:r>
        <w:rPr>
          <w:b/>
        </w:rPr>
        <w:t xml:space="preserve">3.2 Leverage covenant. </w:t>
      </w:r>
      <w:r>
        <w:t>Standard maximum Debt-to-EBITDA covenant is 4.50x.</w:t>
      </w:r>
    </w:p>
    <w:p>
      <w:r>
        <w:rPr>
          <w:b/>
        </w:rPr>
        <w:t xml:space="preserve">3.3 Current ratio covenant. </w:t>
      </w:r>
      <w:r>
        <w:t>For working-capital-sensitive borrowers, a minimum current ratio of 1.15x should be considered.</w:t>
      </w:r>
    </w:p>
    <w:p>
      <w:r>
        <w:rPr>
          <w:b/>
        </w:rPr>
        <w:t xml:space="preserve">3.4 Covenant cushion. </w:t>
      </w:r>
      <w:r>
        <w:t>Borrowers close to a covenant threshold should receive additional review.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This version is historical and should not govern 2026 synthetic decisions unless explicitly selected by the experiment.</w:t>
      </w:r>
    </w:p>
    <w:p>
      <w:pPr>
        <w:pStyle w:val="Heading1"/>
      </w:pPr>
      <w:r>
        <w:t>5. RAG Retrieval Terms</w:t>
      </w:r>
    </w:p>
    <w:p>
      <w:r>
        <w:t>financial covenant, historical DSCR, historical leverage, 2025, superseded</w:t>
      </w:r>
    </w:p>
    <w:p>
      <w:pPr>
        <w:pStyle w:val="Heading1"/>
      </w:pPr>
      <w:r>
        <w:t>6. Version Note</w:t>
      </w:r>
    </w:p>
    <w:p>
      <w:r>
        <w:t>This historical version intentionally contains less restrictive covenant thresholds than Version 2026.1.</w:t>
      </w:r>
    </w:p>
    <w:p/>
    <w:p>
      <w:pPr>
        <w:jc w:val="center"/>
      </w:pPr>
      <w:r>
        <w:rPr>
          <w:i/>
          <w:sz w:val="17"/>
        </w:rPr>
        <w:t>This document is fictional and is not the policy of any real financial institution.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