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Financial Covenant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POL-03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minimum financial covenant expectations for synthetic commercial borrowers.</w:t>
      </w:r>
    </w:p>
    <w:p>
      <w:pPr>
        <w:pStyle w:val="Heading1"/>
      </w:pPr>
      <w:r>
        <w:t>2. Scope</w:t>
      </w:r>
    </w:p>
    <w:p>
      <w:r>
        <w:t>Applies when the proposed credit facility requires ongoing financial covenants.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DSCR covenant. </w:t>
      </w:r>
      <w:r>
        <w:t>Standard minimum DSCR covenant is 1.25x.</w:t>
      </w:r>
    </w:p>
    <w:p>
      <w:r>
        <w:rPr>
          <w:b/>
        </w:rPr>
        <w:t xml:space="preserve">3.2 Leverage covenant. </w:t>
      </w:r>
      <w:r>
        <w:t>Standard maximum Debt-to-EBITDA covenant is 4.00x unless a tighter level is required by the credit structure.</w:t>
      </w:r>
    </w:p>
    <w:p>
      <w:r>
        <w:rPr>
          <w:b/>
        </w:rPr>
        <w:t xml:space="preserve">3.3 Current ratio covenant. </w:t>
      </w:r>
      <w:r>
        <w:t>For working-capital-sensitive borrowers, a minimum current ratio of 1.20x should be considered.</w:t>
      </w:r>
    </w:p>
    <w:p>
      <w:r>
        <w:rPr>
          <w:b/>
        </w:rPr>
        <w:t xml:space="preserve">3.4 Covenant cushion. </w:t>
      </w:r>
      <w:r>
        <w:t>A borrower operating within 0.10x of a covenant threshold should be flagged as having limited covenant cushion.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Covenant exceptions require documented rationale and the approval level required by POL-05.</w:t>
      </w:r>
    </w:p>
    <w:p>
      <w:pPr>
        <w:pStyle w:val="ListBullet"/>
      </w:pPr>
      <w:r>
        <w:t>The GenAI system must distinguish an existing covenant breach from a projected or near-threshold condition.</w:t>
      </w:r>
    </w:p>
    <w:p>
      <w:pPr>
        <w:pStyle w:val="Heading1"/>
      </w:pPr>
      <w:r>
        <w:t>5. RAG Retrieval Terms</w:t>
      </w:r>
    </w:p>
    <w:p>
      <w:r>
        <w:t>financial covenant, DSCR, leverage covenant, current ratio, covenant cushion, breach</w:t>
      </w:r>
    </w:p>
    <w:p>
      <w:pPr>
        <w:pStyle w:val="Heading1"/>
      </w:pPr>
      <w:r>
        <w:t>6. Version Note</w:t>
      </w:r>
    </w:p>
    <w:p>
      <w:r>
        <w:t>Compared with Version 2025.1, the minimum DSCR covenant increased from 1.15x to 1.25x and maximum leverage tightened from 4.50x to 4.00x.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