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SYNTHETIC POLICY - RESEARCH USE ONLY</w:t>
      </w:r>
    </w:p>
    <w:p>
      <w:pPr>
        <w:pStyle w:val="Title"/>
        <w:jc w:val="center"/>
      </w:pPr>
      <w:r>
        <w:t>Collateral and Loan-to-Value Policy</w:t>
      </w:r>
    </w:p>
    <w:p>
      <w:pPr>
        <w:jc w:val="center"/>
      </w:pPr>
      <w:r>
        <w:rPr>
          <w:i/>
        </w:rPr>
        <w:t>Northstar Bank (Synthetic Research Environment)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t>Policy ID</w:t>
            </w:r>
          </w:p>
        </w:tc>
        <w:tc>
          <w:tcPr>
            <w:tcW w:type="dxa" w:w="5112"/>
          </w:tcPr>
          <w:p>
            <w:r>
              <w:t>POL-04</w:t>
            </w:r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>
              <w:t>2026.1</w:t>
            </w:r>
          </w:p>
        </w:tc>
      </w:tr>
      <w:tr>
        <w:tc>
          <w:tcPr>
            <w:tcW w:type="dxa" w:w="5112"/>
          </w:tcPr>
          <w:p>
            <w:r>
              <w:t>Effective date</w:t>
            </w:r>
          </w:p>
        </w:tc>
        <w:tc>
          <w:tcPr>
            <w:tcW w:type="dxa" w:w="5112"/>
          </w:tcPr>
          <w:p>
            <w:r>
              <w:t>2026-01-01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CURRENT / APPROVED</w:t>
            </w:r>
          </w:p>
        </w:tc>
      </w:tr>
      <w:tr>
        <w:tc>
          <w:tcPr>
            <w:tcW w:type="dxa" w:w="5112"/>
          </w:tcPr>
          <w:p>
            <w:r>
              <w:t>Document type</w:t>
            </w:r>
          </w:p>
        </w:tc>
        <w:tc>
          <w:tcPr>
            <w:tcW w:type="dxa" w:w="5112"/>
          </w:tcPr>
          <w:p>
            <w:r>
              <w:t>Synthetic banking policy for controlled GenAI/RAG research</w:t>
            </w:r>
          </w:p>
        </w:tc>
      </w:tr>
    </w:tbl>
    <w:p>
      <w:pPr>
        <w:pStyle w:val="Heading1"/>
      </w:pPr>
      <w:r>
        <w:t>1. Purpose</w:t>
      </w:r>
    </w:p>
    <w:p>
      <w:r>
        <w:t>Defines synthetic collateral coverage and loan-to-value (LTV) expectations.</w:t>
      </w:r>
    </w:p>
    <w:p>
      <w:pPr>
        <w:pStyle w:val="Heading1"/>
      </w:pPr>
      <w:r>
        <w:t>2. Scope</w:t>
      </w:r>
    </w:p>
    <w:p>
      <w:r>
        <w:t>Applies to secured synthetic commercial credit facilities.</w:t>
      </w:r>
    </w:p>
    <w:p>
      <w:pPr>
        <w:pStyle w:val="Heading1"/>
      </w:pPr>
      <w:r>
        <w:t>3. Policy Rules</w:t>
      </w:r>
    </w:p>
    <w:p>
      <w:r>
        <w:rPr>
          <w:b/>
        </w:rPr>
        <w:t xml:space="preserve">3.1 Strong collateral. </w:t>
      </w:r>
      <w:r>
        <w:t>LTV at or below 60% is considered strong collateral support.</w:t>
      </w:r>
    </w:p>
    <w:p>
      <w:r>
        <w:rPr>
          <w:b/>
        </w:rPr>
        <w:t xml:space="preserve">3.2 Standard collateral. </w:t>
      </w:r>
      <w:r>
        <w:t>LTV above 60% and at or below 75% is within standard secured-lending tolerance, subject to collateral quality.</w:t>
      </w:r>
    </w:p>
    <w:p>
      <w:r>
        <w:rPr>
          <w:b/>
        </w:rPr>
        <w:t xml:space="preserve">3.3 Elevated LTV. </w:t>
      </w:r>
      <w:r>
        <w:t>LTV above 75% and at or below 85% requires enhanced review and may require additional collateral or an exception.</w:t>
      </w:r>
    </w:p>
    <w:p>
      <w:r>
        <w:rPr>
          <w:b/>
        </w:rPr>
        <w:t xml:space="preserve">3.4 High LTV. </w:t>
      </w:r>
      <w:r>
        <w:t>LTV above 85% is normally outside standard appetite unless specifically approved under POL-05.</w:t>
      </w:r>
    </w:p>
    <w:p>
      <w:r>
        <w:rPr>
          <w:b/>
        </w:rPr>
        <w:t xml:space="preserve">3.5 Risk interaction. </w:t>
      </w:r>
      <w:r>
        <w:t>Strong collateral is a mitigant but does not erase weak cash flow, high PD, covenant breaches, or other material credit weaknesses.</w:t>
      </w:r>
    </w:p>
    <w:p>
      <w:pPr>
        <w:pStyle w:val="Heading1"/>
      </w:pPr>
      <w:r>
        <w:t>4. Exceptions and Escalation</w:t>
      </w:r>
    </w:p>
    <w:p>
      <w:pPr>
        <w:pStyle w:val="ListBullet"/>
      </w:pPr>
      <w:r>
        <w:t>Collateral values must be based on the supplied synthetic borrower record; the system must not invent collateral values.</w:t>
      </w:r>
    </w:p>
    <w:p>
      <w:pPr>
        <w:pStyle w:val="ListBullet"/>
      </w:pPr>
      <w:r>
        <w:t>Exceptions follow POL-05 approval requirements.</w:t>
      </w:r>
    </w:p>
    <w:p>
      <w:pPr>
        <w:pStyle w:val="Heading1"/>
      </w:pPr>
      <w:r>
        <w:t>5. RAG Retrieval Terms</w:t>
      </w:r>
    </w:p>
    <w:p>
      <w:r>
        <w:t>collateral, LTV, loan to value, strong collateral, secured lending, additional collateral</w:t>
      </w:r>
    </w:p>
    <w:p/>
    <w:p>
      <w:pPr>
        <w:jc w:val="center"/>
      </w:pPr>
      <w:r>
        <w:rPr>
          <w:i/>
          <w:sz w:val="17"/>
        </w:rPr>
        <w:t>This document is fictional and is not the policy of any real financial institution.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