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SYNTHETIC POLICY - RESEARCH USE ONLY</w:t>
      </w:r>
    </w:p>
    <w:p>
      <w:pPr>
        <w:pStyle w:val="Title"/>
        <w:jc w:val="center"/>
      </w:pPr>
      <w:r>
        <w:t>Credit Exception and Approval Authority Policy</w:t>
      </w:r>
    </w:p>
    <w:p>
      <w:pPr>
        <w:jc w:val="center"/>
      </w:pPr>
      <w:r>
        <w:rPr>
          <w:i/>
        </w:rPr>
        <w:t>Northstar Bank (Synthetic Research Environment)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Policy ID</w:t>
            </w:r>
          </w:p>
        </w:tc>
        <w:tc>
          <w:tcPr>
            <w:tcW w:type="dxa" w:w="5112"/>
          </w:tcPr>
          <w:p>
            <w:r>
              <w:t>POL-05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2026.1</w:t>
            </w:r>
          </w:p>
        </w:tc>
      </w:tr>
      <w:tr>
        <w:tc>
          <w:tcPr>
            <w:tcW w:type="dxa" w:w="5112"/>
          </w:tcPr>
          <w:p>
            <w:r>
              <w:t>Effective date</w:t>
            </w:r>
          </w:p>
        </w:tc>
        <w:tc>
          <w:tcPr>
            <w:tcW w:type="dxa" w:w="5112"/>
          </w:tcPr>
          <w:p>
            <w:r>
              <w:t>2026-01-01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CURRENT / APPROVED</w:t>
            </w:r>
          </w:p>
        </w:tc>
      </w:tr>
      <w:tr>
        <w:tc>
          <w:tcPr>
            <w:tcW w:type="dxa" w:w="5112"/>
          </w:tcPr>
          <w:p>
            <w:r>
              <w:t>Document type</w:t>
            </w:r>
          </w:p>
        </w:tc>
        <w:tc>
          <w:tcPr>
            <w:tcW w:type="dxa" w:w="5112"/>
          </w:tcPr>
          <w:p>
            <w:r>
              <w:t>Synthetic banking policy for controlled GenAI/RAG research</w:t>
            </w:r>
          </w:p>
        </w:tc>
      </w:tr>
    </w:tbl>
    <w:p>
      <w:pPr>
        <w:pStyle w:val="Heading1"/>
      </w:pPr>
      <w:r>
        <w:t>1. Purpose</w:t>
      </w:r>
    </w:p>
    <w:p>
      <w:r>
        <w:t>Defines synthetic approval requirements when a proposed credit falls outside standard policy limits.</w:t>
      </w:r>
    </w:p>
    <w:p>
      <w:pPr>
        <w:pStyle w:val="Heading1"/>
      </w:pPr>
      <w:r>
        <w:t>2. Scope</w:t>
      </w:r>
    </w:p>
    <w:p>
      <w:r>
        <w:t>Applies to all synthetic commercial credit cases that breach a rule in POL-01, POL-03, or POL-04.</w:t>
      </w:r>
    </w:p>
    <w:p>
      <w:pPr>
        <w:pStyle w:val="Heading1"/>
      </w:pPr>
      <w:r>
        <w:t>3. Policy Rules</w:t>
      </w:r>
    </w:p>
    <w:p>
      <w:r>
        <w:rPr>
          <w:b/>
        </w:rPr>
        <w:t xml:space="preserve">3.1 Minor exception. </w:t>
      </w:r>
      <w:r>
        <w:t>One non-critical threshold breach with strong documented mitigants requires Credit Manager approval.</w:t>
      </w:r>
    </w:p>
    <w:p>
      <w:r>
        <w:rPr>
          <w:b/>
        </w:rPr>
        <w:t xml:space="preserve">3.2 Material exception. </w:t>
      </w:r>
      <w:r>
        <w:t>A material leverage, DSCR, LTV, or multiple-policy exception requires Senior Credit Officer approval.</w:t>
      </w:r>
    </w:p>
    <w:p>
      <w:r>
        <w:rPr>
          <w:b/>
        </w:rPr>
        <w:t xml:space="preserve">3.3 High-risk case. </w:t>
      </w:r>
      <w:r>
        <w:t>A borrower classified High under POL-02 and also outside a core underwriting threshold requires Senior Credit Officer approval and explicit documented rationale.</w:t>
      </w:r>
    </w:p>
    <w:p>
      <w:r>
        <w:rPr>
          <w:b/>
        </w:rPr>
        <w:t xml:space="preserve">3.4 No assumed approval. </w:t>
      </w:r>
      <w:r>
        <w:t>The GenAI system may recommend escalation or an exception request, but it must not state that an exception is approved unless approval evidence is present.</w:t>
      </w:r>
    </w:p>
    <w:p>
      <w:r>
        <w:rPr>
          <w:b/>
        </w:rPr>
        <w:t xml:space="preserve">3.5 Multiple exceptions. </w:t>
      </w:r>
      <w:r>
        <w:t>Two or more material policy exceptions should normally result in Decline or escalation for senior approval, depending on documented mitigants.</w:t>
      </w:r>
    </w:p>
    <w:p>
      <w:pPr>
        <w:pStyle w:val="Heading1"/>
      </w:pPr>
      <w:r>
        <w:t>4. Exceptions and Escalation</w:t>
      </w:r>
    </w:p>
    <w:p>
      <w:pPr>
        <w:pStyle w:val="ListBullet"/>
      </w:pPr>
      <w:r>
        <w:t>Approval authority cannot be inferred from job title text alone; the supplied approval evidence controls.</w:t>
      </w:r>
    </w:p>
    <w:p>
      <w:pPr>
        <w:pStyle w:val="ListBullet"/>
      </w:pPr>
      <w:r>
        <w:t>Missing approval evidence must be reported as missing rather than assumed.</w:t>
      </w:r>
    </w:p>
    <w:p>
      <w:pPr>
        <w:pStyle w:val="Heading1"/>
      </w:pPr>
      <w:r>
        <w:t>5. RAG Retrieval Terms</w:t>
      </w:r>
    </w:p>
    <w:p>
      <w:r>
        <w:t>policy exception, approval authority, Senior Credit Officer, Credit Manager, escalation, multiple exceptions</w:t>
      </w:r>
    </w:p>
    <w:p/>
    <w:p>
      <w:pPr>
        <w:jc w:val="center"/>
      </w:pPr>
      <w:r>
        <w:rPr>
          <w:i/>
          <w:sz w:val="17"/>
        </w:rPr>
        <w:t>This document is fictional and is not the policy of any real financial institution.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