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SYNTHETIC POLICY - RESEARCH USE ONLY</w:t>
      </w:r>
    </w:p>
    <w:p>
      <w:pPr>
        <w:pStyle w:val="Title"/>
        <w:jc w:val="center"/>
      </w:pPr>
      <w:r>
        <w:t>Credit Documentation and Review Standards</w:t>
      </w:r>
    </w:p>
    <w:p>
      <w:pPr>
        <w:jc w:val="center"/>
      </w:pPr>
      <w:r>
        <w:rPr>
          <w:i/>
        </w:rPr>
        <w:t>Northstar Bank (Synthetic Research Environment)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Policy ID</w:t>
            </w:r>
          </w:p>
        </w:tc>
        <w:tc>
          <w:tcPr>
            <w:tcW w:type="dxa" w:w="5112"/>
          </w:tcPr>
          <w:p>
            <w:r>
              <w:t>POL-06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2026.1</w:t>
            </w:r>
          </w:p>
        </w:tc>
      </w:tr>
      <w:tr>
        <w:tc>
          <w:tcPr>
            <w:tcW w:type="dxa" w:w="5112"/>
          </w:tcPr>
          <w:p>
            <w:r>
              <w:t>Effective date</w:t>
            </w:r>
          </w:p>
        </w:tc>
        <w:tc>
          <w:tcPr>
            <w:tcW w:type="dxa" w:w="5112"/>
          </w:tcPr>
          <w:p>
            <w:r>
              <w:t>2026-01-01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CURRENT / APPROVED</w:t>
            </w:r>
          </w:p>
        </w:tc>
      </w:tr>
      <w:tr>
        <w:tc>
          <w:tcPr>
            <w:tcW w:type="dxa" w:w="5112"/>
          </w:tcPr>
          <w:p>
            <w:r>
              <w:t>Document type</w:t>
            </w:r>
          </w:p>
        </w:tc>
        <w:tc>
          <w:tcPr>
            <w:tcW w:type="dxa" w:w="5112"/>
          </w:tcPr>
          <w:p>
            <w:r>
              <w:t>Synthetic banking policy for controlled GenAI/RAG research</w:t>
            </w:r>
          </w:p>
        </w:tc>
      </w:tr>
    </w:tbl>
    <w:p>
      <w:pPr>
        <w:pStyle w:val="Heading1"/>
      </w:pPr>
      <w:r>
        <w:t>1. Purpose</w:t>
      </w:r>
    </w:p>
    <w:p>
      <w:r>
        <w:t>Defines minimum information quality and documentation expectations for synthetic credit assessments.</w:t>
      </w:r>
    </w:p>
    <w:p>
      <w:pPr>
        <w:pStyle w:val="Heading1"/>
      </w:pPr>
      <w:r>
        <w:t>2. Scope</w:t>
      </w:r>
    </w:p>
    <w:p>
      <w:r>
        <w:t>Applies to all synthetic borrower assessments produced by the GenAI research application.</w:t>
      </w:r>
    </w:p>
    <w:p>
      <w:pPr>
        <w:pStyle w:val="Heading1"/>
      </w:pPr>
      <w:r>
        <w:t>3. Policy Rules</w:t>
      </w:r>
    </w:p>
    <w:p>
      <w:r>
        <w:rPr>
          <w:b/>
        </w:rPr>
        <w:t xml:space="preserve">3.1 Financial statement freshness. </w:t>
      </w:r>
      <w:r>
        <w:t>Financial statements used for the assessment should be no more than 12 months old unless an approved exception exists.</w:t>
      </w:r>
    </w:p>
    <w:p>
      <w:r>
        <w:rPr>
          <w:b/>
        </w:rPr>
        <w:t xml:space="preserve">3.2 Required core inputs. </w:t>
      </w:r>
      <w:r>
        <w:t>The assessment should include borrower identity, requested amount, income or revenue measure, leverage, DSCR where applicable, liquidity, collateral/LTV for secured facilities, and the frozen PD.</w:t>
      </w:r>
    </w:p>
    <w:p>
      <w:r>
        <w:rPr>
          <w:b/>
        </w:rPr>
        <w:t xml:space="preserve">3.3 Source attribution. </w:t>
      </w:r>
      <w:r>
        <w:t>Material factual claims and policy conclusions should be supported by the supplied borrower data or retrieved policy source.</w:t>
      </w:r>
    </w:p>
    <w:p>
      <w:r>
        <w:rPr>
          <w:b/>
        </w:rPr>
        <w:t xml:space="preserve">3.4 Missing information. </w:t>
      </w:r>
      <w:r>
        <w:t>When a required input is unavailable, the system should identify the missing information and avoid fabricating a value.</w:t>
      </w:r>
    </w:p>
    <w:p>
      <w:r>
        <w:rPr>
          <w:b/>
        </w:rPr>
        <w:t xml:space="preserve">3.5 Conflicting information. </w:t>
      </w:r>
      <w:r>
        <w:t>When two sources conflict, the system should identify the conflict and prefer the current approved source when effective-date metadata is available.</w:t>
      </w:r>
    </w:p>
    <w:p>
      <w:pPr>
        <w:pStyle w:val="Heading1"/>
      </w:pPr>
      <w:r>
        <w:t>4. Exceptions and Escalation</w:t>
      </w:r>
    </w:p>
    <w:p>
      <w:pPr>
        <w:pStyle w:val="ListBullet"/>
      </w:pPr>
      <w:r>
        <w:t>A preliminary assessment may be produced with missing non-critical information if the limitation is clearly stated.</w:t>
      </w:r>
    </w:p>
    <w:p>
      <w:pPr>
        <w:pStyle w:val="ListBullet"/>
      </w:pPr>
      <w:r>
        <w:t>Material missing information should result in escalation or an incomplete assessment rather than unsupported approval.</w:t>
      </w:r>
    </w:p>
    <w:p>
      <w:pPr>
        <w:pStyle w:val="Heading1"/>
      </w:pPr>
      <w:r>
        <w:t>5. RAG Retrieval Terms</w:t>
      </w:r>
    </w:p>
    <w:p>
      <w:r>
        <w:t>credit documentation, financial statements, data freshness, required inputs, source attribution, missing information, conflicting information</w:t>
      </w:r>
    </w:p>
    <w:p/>
    <w:p>
      <w:pPr>
        <w:jc w:val="center"/>
      </w:pPr>
      <w:r>
        <w:rPr>
          <w:i/>
          <w:sz w:val="17"/>
        </w:rPr>
        <w:t>This document is fictional and is not the policy of any real financial institution.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