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POL-05 — Borrower Stability &amp; Credit Behavior Policy</w:t>
      </w:r>
    </w:p>
    <w:p>
      <w:pPr>
        <w:jc w:val="center"/>
      </w:pPr>
      <w:r>
        <w:rPr>
          <w:b/>
        </w:rPr>
        <w:t>Version 2026.1 • SYNTHETIC POLICY – RESEARCH USE ONLY</w:t>
      </w:r>
    </w:p>
    <w:p>
      <w:pPr>
        <w:pStyle w:val="Heading1"/>
      </w:pPr>
      <w:r>
        <w:t>Purpose</w:t>
      </w:r>
    </w:p>
    <w:p>
      <w:r>
        <w:t>Assess employment stability and recent credit-seeking behavior.</w:t>
      </w:r>
    </w:p>
    <w:p>
      <w:pPr>
        <w:pStyle w:val="Heading1"/>
      </w:pPr>
      <w:r>
        <w:t>Home Credit Fields Used</w:t>
      </w:r>
    </w:p>
    <w:p>
      <w:r>
        <w:t>DAYS_EMPLOYED; AMT_REQ_CREDIT_BUREAU_MON; AMT_REQ_CREDIT_BUREAU_QRT; AMT_REQ_CREDIT_BUREAU_YEAR</w:t>
      </w:r>
    </w:p>
    <w:p>
      <w:pPr>
        <w:pStyle w:val="Heading1"/>
      </w:pPr>
      <w:r>
        <w:t>Measure</w:t>
      </w:r>
    </w:p>
    <w:p>
      <w:r>
        <w:t>Employment tenure = |DAYS_EMPLOYED| ÷ 365, excluding sentinel/not-applicable values.</w:t>
      </w:r>
    </w:p>
    <w:p>
      <w:pPr>
        <w:pStyle w:val="Heading1"/>
      </w:pPr>
      <w:r>
        <w:t>Policy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Condition</w:t>
            </w:r>
          </w:p>
        </w:tc>
        <w:tc>
          <w:tcPr>
            <w:tcW w:type="dxa" w:w="3408"/>
            <w:shd w:fill="D9EAF7"/>
          </w:tcPr>
          <w:p>
            <w:r>
              <w:t>Classification</w:t>
            </w:r>
          </w:p>
        </w:tc>
        <w:tc>
          <w:tcPr>
            <w:tcW w:type="dxa" w:w="3408"/>
            <w:shd w:fill="D9EAF7"/>
          </w:tcPr>
          <w:p>
            <w:r>
              <w:t>Treatment</w:t>
            </w:r>
          </w:p>
        </w:tc>
      </w:tr>
      <w:tr>
        <w:tc>
          <w:tcPr>
            <w:tcW w:type="dxa" w:w="3408"/>
          </w:tcPr>
          <w:p>
            <w:r>
              <w:t>Employment ≥2 years AND low recent inquiries</w:t>
            </w:r>
          </w:p>
        </w:tc>
        <w:tc>
          <w:tcPr>
            <w:tcW w:type="dxa" w:w="3408"/>
          </w:tcPr>
          <w:p>
            <w:r>
              <w:t>Stable</w:t>
            </w:r>
          </w:p>
        </w:tc>
        <w:tc>
          <w:tcPr>
            <w:tcW w:type="dxa" w:w="3408"/>
          </w:tcPr>
          <w:p>
            <w:r>
              <w:t>No stability concern</w:t>
            </w:r>
          </w:p>
        </w:tc>
      </w:tr>
      <w:tr>
        <w:tc>
          <w:tcPr>
            <w:tcW w:type="dxa" w:w="3408"/>
          </w:tcPr>
          <w:p>
            <w:r>
              <w:t>Employment &lt;2 years OR elevated recent inquiries</w:t>
            </w:r>
          </w:p>
        </w:tc>
        <w:tc>
          <w:tcPr>
            <w:tcW w:type="dxa" w:w="3408"/>
          </w:tcPr>
          <w:p>
            <w:r>
              <w:t>Review</w:t>
            </w:r>
          </w:p>
        </w:tc>
        <w:tc>
          <w:tcPr>
            <w:tcW w:type="dxa" w:w="3408"/>
          </w:tcPr>
          <w:p>
            <w:r>
              <w:t>Additional review</w:t>
            </w:r>
          </w:p>
        </w:tc>
      </w:tr>
      <w:tr>
        <w:tc>
          <w:tcPr>
            <w:tcW w:type="dxa" w:w="3408"/>
          </w:tcPr>
          <w:p>
            <w:r>
              <w:t>Very short employment AND high recent inquiries</w:t>
            </w:r>
          </w:p>
        </w:tc>
        <w:tc>
          <w:tcPr>
            <w:tcW w:type="dxa" w:w="3408"/>
          </w:tcPr>
          <w:p>
            <w:r>
              <w:t>High Concern</w:t>
            </w:r>
          </w:p>
        </w:tc>
        <w:tc>
          <w:tcPr>
            <w:tcW w:type="dxa" w:w="3408"/>
          </w:tcPr>
          <w:p>
            <w:r>
              <w:t>Material stability/credit-seeking concern</w:t>
            </w:r>
          </w:p>
        </w:tc>
      </w:tr>
    </w:tbl>
    <w:p>
      <w:pPr>
        <w:pStyle w:val="Heading1"/>
      </w:pPr>
      <w:r>
        <w:t>Research Note</w:t>
      </w:r>
    </w:p>
    <w:p>
      <w:r>
        <w:t>Exact inquiry cutoffs should be frozen before the benchmark is generated.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