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0187567eb414569" /><Relationship Type="http://schemas.openxmlformats.org/package/2006/relationships/metadata/core-properties" Target="/docProps/core.xml" Id="R09722c9002624fc5" /><Relationship Type="http://schemas.openxmlformats.org/officeDocument/2006/relationships/extended-properties" Target="/docProps/app.xml" Id="R6c978cce2fee452e" /><Relationship Type="http://schemas.openxmlformats.org/officeDocument/2006/relationships/custom-properties" Target="/docProps/custom.xml" Id="R1557406d2dcd4ef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Supermarket Sales Analysis — Project Report</w:t>
      </w:r>
    </w:p>
    <w:p w14:paraId="00100002" w14:textId="00100003">
      <w:pPr>
        <w:spacing w:after="80"/>
        <w:jc w:val="center"/>
      </w:pPr>
      <w:r>
        <w:rPr>
          <w:sz w:val="24"/>
        </w:rPr>
        <w:t xml:space="preserve">IBM SkillsBuild | Data Analytics Project | 2024</w:t>
      </w:r>
    </w:p>
    <w:p w14:paraId="00100004" w14:textId="00100005">
      <w:pPr>
        <w:spacing w:after="320"/>
        <w:jc w:val="center"/>
      </w:pPr>
      <w:r>
        <w:rPr>
          <w:sz w:val="22"/>
        </w:rPr>
        <w:t xml:space="preserve">Author: YourName  |  Platform: Google Colab  |  Language: Python 3</w:t>
      </w:r>
    </w:p>
    <w:p w14:paraId="00100006" w14:textId="00100007">
      <w:pPr>
        <w:pStyle w:val="Heading1"/>
        <w:spacing w:after="120"/>
      </w:pPr>
      <w:r>
        <w:rPr>
          <w:b/>
          <w:sz w:val="32"/>
        </w:rPr>
        <w:t xml:space="preserve">1. Problem Statement</w:t>
      </w:r>
    </w:p>
    <w:p w14:paraId="00100008" w14:textId="00100009">
      <w:pPr>
        <w:spacing w:after="200"/>
      </w:pPr>
      <w:r>
        <w:rPr>
          <w:sz w:val="22"/>
        </w:rPr>
        <w:t xml:space="preserve">Retail supermarkets generate large volumes of transaction data daily but often lack structured analytical frameworks to extract actionable business intelligence from this data. The objective of this project is to analyse 500 supermarket sales transactions recorded across three branches in Delhi, Bangalore, and Mumbai during January–December 2024, and to derive data-driven insights that support product management, customer engagement, branch operations, payment strategy, and revenue growth decisions.</w:t>
      </w:r>
    </w:p>
    <w:p w14:paraId="0010000A" w14:textId="0010000B">
      <w:pPr>
        <w:pStyle w:val="Heading1"/>
        <w:spacing w:after="120"/>
      </w:pPr>
      <w:r>
        <w:rPr>
          <w:b/>
          <w:sz w:val="32"/>
        </w:rPr>
        <w:t xml:space="preserve">2. Dataset</w:t>
      </w:r>
    </w:p>
    <w:p w14:paraId="0010000C" w14:textId="0010000D">
      <w:pPr>
        <w:spacing w:after="80"/>
      </w:pPr>
      <w:r>
        <w:rPr>
          <w:b/>
          <w:sz w:val="22"/>
        </w:rPr>
        <w:t xml:space="preserve">File: data/supermarket_sales.csv  |  Rows: 500  |  Columns: 13  |  Period: Jan–Dec 2024</w:t>
      </w:r>
    </w:p>
    <w:p w14:paraId="0010000E" w14:textId="0010000F">
      <w:pPr>
        <w:spacing w:after="200"/>
      </w:pPr>
      <w:r>
        <w:rPr>
          <w:sz w:val="22"/>
        </w:rPr>
        <w:t xml:space="preserve">The dataset contains 500 unique supermarket transactions with the following fields: Invoice ID, Date, Branch, City, Customer Type, Gender, Product, Category, Quantity, Unit Price, Payment Method, Customer Rating, and Sales (= Quantity × Unit Price). Three branches are included: Branch A (Delhi), Branch B (Bangalore), and Branch C (Mumbai). The dataset covers 15 products across 6 categories: Beverages, Dairy, Grains, Snacks, Bakery, and Grocery.</w:t>
      </w:r>
    </w:p>
    <w:p w14:paraId="00100010" w14:textId="00100011">
      <w:pPr>
        <w:pStyle w:val="Heading1"/>
        <w:spacing w:after="120"/>
      </w:pPr>
      <w:r>
        <w:rPr>
          <w:b/>
          <w:sz w:val="32"/>
        </w:rPr>
        <w:t xml:space="preserve">3. Data Cleaning</w:t>
      </w:r>
    </w:p>
    <w:p w14:paraId="00100012" w14:textId="00100013">
      <w:pPr>
        <w:spacing w:after="80"/>
      </w:pPr>
      <w:r>
        <w:rPr>
          <w:sz w:val="22"/>
        </w:rPr>
        <w:t xml:space="preserve">Data quality checks performed on the full 500-row dataset:</w:t>
      </w:r>
    </w:p>
    <w:p w14:paraId="00100014" w14:textId="00100015">
      <w:pPr>
        <w:numPr>
          <w:ilvl w:val="0"/>
          <w:numId w:val="1"/>
        </w:numPr>
        <w:spacing w:after="40"/>
      </w:pPr>
      <w:r>
        <w:rPr>
          <w:sz w:val="22"/>
        </w:rPr>
        <w:t xml:space="preserve">Missing values: 0 across all 13 columns</w:t>
      </w:r>
    </w:p>
    <w:p w14:paraId="00100016" w14:textId="00100017">
      <w:pPr>
        <w:numPr>
          <w:ilvl w:val="0"/>
          <w:numId w:val="1"/>
        </w:numPr>
        <w:spacing w:after="40"/>
      </w:pPr>
      <w:r>
        <w:rPr>
          <w:sz w:val="22"/>
        </w:rPr>
        <w:t xml:space="preserve">Duplicate rows: 0 (all Invoice IDs are unique)</w:t>
      </w:r>
    </w:p>
    <w:p w14:paraId="00100018" w14:textId="00100019">
      <w:pPr>
        <w:numPr>
          <w:ilvl w:val="0"/>
          <w:numId w:val="1"/>
        </w:numPr>
        <w:spacing w:after="40"/>
      </w:pPr>
      <w:r>
        <w:rPr>
          <w:sz w:val="22"/>
        </w:rPr>
        <w:t xml:space="preserve">Date column: converted from string to datetime format; Month and Month_Num columns derived</w:t>
      </w:r>
    </w:p>
    <w:p w14:paraId="0010001A" w14:textId="0010001B">
      <w:pPr>
        <w:numPr>
          <w:ilvl w:val="0"/>
          <w:numId w:val="1"/>
        </w:numPr>
        <w:spacing w:after="40"/>
      </w:pPr>
      <w:r>
        <w:rPr>
          <w:sz w:val="22"/>
        </w:rPr>
        <w:t xml:space="preserve">Sales formula validation: Sales = Quantity × Unit Price confirmed across all rows</w:t>
      </w:r>
    </w:p>
    <w:p w14:paraId="0010001C" w14:textId="0010001D">
      <w:pPr>
        <w:numPr>
          <w:ilvl w:val="0"/>
          <w:numId w:val="1"/>
        </w:numPr>
        <w:spacing w:after="160"/>
      </w:pPr>
      <w:r>
        <w:rPr>
          <w:sz w:val="22"/>
        </w:rPr>
        <w:t xml:space="preserve">Categorical consistency: Branch, City, Payment, Customer Type, Gender all contain expected values only</w:t>
      </w:r>
    </w:p>
    <w:p w14:paraId="0010001E" w14:textId="0010001F">
      <w:pPr>
        <w:spacing w:after="200"/>
      </w:pPr>
      <w:r>
        <w:rPr>
          <w:b/>
          <w:sz w:val="22"/>
        </w:rPr>
        <w:t xml:space="preserve">Result: Dataset is complete, consistent, and ready for analysis with no records removed.</w:t>
      </w:r>
    </w:p>
    <w:p w14:paraId="00100020" w14:textId="00100021">
      <w:pPr>
        <w:pStyle w:val="Heading1"/>
        <w:spacing w:after="120"/>
      </w:pPr>
      <w:r>
        <w:rPr>
          <w:b/>
          <w:sz w:val="32"/>
        </w:rPr>
        <w:t xml:space="preserve">4. Exploratory Data Analysis</w:t>
      </w:r>
    </w:p>
    <w:p w14:paraId="00100022" w14:textId="00100094">
      <w:pPr>
        <w:spacing w:after="200"/>
      </w:pPr>
      <w:r>
        <w:rPr>
          <w:sz w:val="22"/>
        </w:rPr>
        <w:t xml:space="preserve">Key descriptive statistics: Sales range Rs 225–Rs 1,200 per transaction; average Rs 488.82. Quantity per transaction ranges 1–6 units; average 5.54. Customer ratings range 3.5–4.8; average 3.99. Unit prices range Rs 45 (Biscuits) to Rs 200 (Paneer). The dataset spans all 12 months of January–December 2024: January 41 transactions, all other months 42 (except December 39). Gender split: 51.4% Female (257), 48.6% Male (243). Customer Type: 52.8% Member (264), 47.2% Normal (236). Payment methods: UPI 38.8% (194), Cash 29.6% (148), Credit Card 31.6% (158). Cashless (UPI + Credit Card): 70.4% of transactions.</w:t>
      </w:r>
    </w:p>
    <w:p w14:paraId="00100024" w14:textId="00100025">
      <w:pPr>
        <w:pStyle w:val="Heading1"/>
        <w:spacing w:after="120"/>
      </w:pPr>
      <w:r>
        <w:rPr>
          <w:b/>
          <w:sz w:val="32"/>
        </w:rPr>
        <w:t xml:space="preserve">5. KPI Analysis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6" w14:textId="00100027">
            <w:r>
              <w:t xml:space="preserve">KPI</w:t>
            </w:r>
          </w:p>
        </w:tc>
        <w:tc>
          <w:p w14:paraId="00100028" w14:textId="00100029">
            <w:r>
              <w:t xml:space="preserve">Verified Value</w:t>
            </w:r>
          </w:p>
        </w:tc>
      </w:tr>
      <w:tr>
        <w:trPr/>
        <w:tc>
          <w:p w14:paraId="0010002A" w14:textId="0010002B">
            <w:r>
              <w:t xml:space="preserve">Total Sales</w:t>
            </w:r>
          </w:p>
        </w:tc>
        <w:tc>
          <w:p w14:paraId="0010002C" w14:textId="0010002D">
            <w:r>
              <w:t xml:space="preserve">Rs 2,44,411.08</w:t>
            </w:r>
          </w:p>
        </w:tc>
      </w:tr>
      <w:tr>
        <w:trPr/>
        <w:tc>
          <w:p w14:paraId="0010002E" w14:textId="0010002F">
            <w:r>
              <w:t xml:space="preserve">Total Transactions</w:t>
            </w:r>
          </w:p>
        </w:tc>
        <w:tc>
          <w:p w14:paraId="00100030" w14:textId="00100031">
            <w:r>
              <w:t xml:space="preserve">500</w:t>
            </w:r>
          </w:p>
        </w:tc>
      </w:tr>
      <w:tr>
        <w:trPr/>
        <w:tc>
          <w:p w14:paraId="00100032" w14:textId="00100033">
            <w:r>
              <w:t xml:space="preserve">Average Transaction Value</w:t>
            </w:r>
          </w:p>
        </w:tc>
        <w:tc>
          <w:p w14:paraId="00100034" w14:textId="00100035">
            <w:r>
              <w:t xml:space="preserve">Rs 488.82</w:t>
            </w:r>
          </w:p>
        </w:tc>
      </w:tr>
      <w:tr>
        <w:trPr/>
        <w:tc>
          <w:p w14:paraId="00100036" w14:textId="00100037">
            <w:r>
              <w:t xml:space="preserve">Average Customer Rating</w:t>
            </w:r>
          </w:p>
        </w:tc>
        <w:tc>
          <w:p w14:paraId="00100038" w14:textId="00100039">
            <w:r>
              <w:t xml:space="preserve">3.99 / 5</w:t>
            </w:r>
          </w:p>
        </w:tc>
      </w:tr>
      <w:tr>
        <w:trPr/>
        <w:tc>
          <w:p w14:paraId="0010003A" w14:textId="0010003B">
            <w:r>
              <w:t xml:space="preserve">Total Quantity Sold</w:t>
            </w:r>
          </w:p>
        </w:tc>
        <w:tc>
          <w:p w14:paraId="0010003C" w14:textId="0010003D">
            <w:r>
              <w:t xml:space="preserve">2,768 units</w:t>
            </w:r>
          </w:p>
        </w:tc>
      </w:tr>
      <w:tr>
        <w:trPr/>
        <w:tc>
          <w:p w14:paraId="0010003E" w14:textId="0010003F">
            <w:r>
              <w:t xml:space="preserve">Top Product</w:t>
            </w:r>
          </w:p>
        </w:tc>
        <w:tc>
          <w:p w14:paraId="00100040" w14:textId="00100041">
            <w:r>
              <w:t xml:space="preserve">Cheese</w:t>
            </w:r>
          </w:p>
        </w:tc>
      </w:tr>
      <w:tr>
        <w:trPr/>
        <w:tc>
          <w:p w14:paraId="00100042" w14:textId="00100043">
            <w:r>
              <w:t xml:space="preserve">Top Category</w:t>
            </w:r>
          </w:p>
        </w:tc>
        <w:tc>
          <w:p w14:paraId="00100044" w14:textId="00100045">
            <w:r>
              <w:t xml:space="preserve">Beverages</w:t>
            </w:r>
          </w:p>
        </w:tc>
      </w:tr>
      <w:tr>
        <w:trPr/>
        <w:tc>
          <w:p w14:paraId="00100046" w14:textId="00100047">
            <w:r>
              <w:t xml:space="preserve">Top Branch</w:t>
            </w:r>
          </w:p>
        </w:tc>
        <w:tc>
          <w:p w14:paraId="00100048" w14:textId="00100049">
            <w:r>
              <w:t xml:space="preserve">Branch C</w:t>
            </w:r>
          </w:p>
        </w:tc>
      </w:tr>
      <w:tr>
        <w:trPr/>
        <w:tc>
          <w:p w14:paraId="0010004A" w14:textId="0010004B">
            <w:r>
              <w:t xml:space="preserve">Top City</w:t>
            </w:r>
          </w:p>
        </w:tc>
        <w:tc>
          <w:p w14:paraId="0010004C" w14:textId="0010004D">
            <w:r>
              <w:t xml:space="preserve">Mumbai</w:t>
            </w:r>
          </w:p>
        </w:tc>
      </w:tr>
      <w:tr>
        <w:trPr/>
        <w:tc>
          <w:p w14:paraId="0010004E" w14:textId="0010004F">
            <w:r>
              <w:t xml:space="preserve">Most Used Payment Method</w:t>
            </w:r>
          </w:p>
        </w:tc>
        <w:tc>
          <w:p w14:paraId="00100050" w14:textId="00100051">
            <w:r>
              <w:t xml:space="preserve">UPI</w:t>
            </w:r>
          </w:p>
        </w:tc>
      </w:tr>
    </w:tbl>
    <w:p w14:paraId="00100052" w14:textId="00100053">
      <w:pPr>
        <w:spacing w:after="120"/>
      </w:pPr>
      <w:r>
        <w:rPr/>
        <w:t xml:space="preserve"/>
      </w:r>
    </w:p>
    <w:p w14:paraId="00100054" w14:textId="00100055">
      <w:pPr>
        <w:pStyle w:val="Heading1"/>
        <w:spacing w:after="120"/>
      </w:pPr>
      <w:r>
        <w:rPr>
          <w:b/>
          <w:sz w:val="32"/>
        </w:rPr>
        <w:t xml:space="preserve">6. Product Analysis</w:t>
      </w:r>
    </w:p>
    <w:p w14:paraId="00100056" w14:textId="00100057">
      <w:pPr>
        <w:spacing w:after="200"/>
      </w:pPr>
      <w:r>
        <w:rPr>
          <w:sz w:val="22"/>
        </w:rPr>
        <w:t xml:space="preserve">The dataset contains 15 products across 6 categories. Cheese (Rs 185.50/unit) is the top product by total sales revenue — the combination of high unit price and the highest transaction frequency makes it the single most important product for revenue generation. Paneer (Rs 200/unit) has the highest unit price in the entire catalogue; individual Paneer transactions involving 4–6 units generate the highest per-invoice values (up to Rs 1,200). Products are organised into three pricing tiers: Premium (Rs 140–Rs 200: Paneer, Cheese, Coffee), Mid-range (Rs 75–Rs 120: Butter, Oats, Juice, Milk, Tea, Wheat Flour, Rice, Yogurt), and Budget (Rs 45–Rs 65: Eggs, Biscuits, Chips, Bread, Sugar).</w:t>
      </w:r>
    </w:p>
    <w:p w14:paraId="00100058" w14:textId="00100059">
      <w:pPr>
        <w:pStyle w:val="Heading1"/>
        <w:spacing w:after="120"/>
      </w:pPr>
      <w:r>
        <w:rPr>
          <w:b/>
          <w:sz w:val="32"/>
        </w:rPr>
        <w:t xml:space="preserve">7. Category Analysis</w:t>
      </w:r>
    </w:p>
    <w:p w14:paraId="0010005A" w14:textId="0010005B">
      <w:pPr>
        <w:spacing w:after="200"/>
      </w:pPr>
      <w:r>
        <w:rPr>
          <w:sz w:val="22"/>
        </w:rPr>
        <w:t xml:space="preserve">Beverages is the top category accounting for approximately 36% of all transactions and the highest revenue share. It uniquely spans both premium products (Cheese at Rs 185.50, Coffee at Rs 140) and everyday necessities (Milk at Rs 95, Tea at Rs 75), ensuring broad customer demand. Dairy is the second-largest category (approx. 23%), driven by Paneer's high unit price and Eggs' high purchase frequency. Grains (17%), Snacks (15%), Bakery (6%), and Grocery (3%) complete the category hierarchy. Bakery and Grocery are single-product categories (Bread and Sugar respectively) representing the lowest revenue contributors but important foot-traffic drivers.</w:t>
      </w:r>
    </w:p>
    <w:p w14:paraId="0010005C" w14:textId="0010005D">
      <w:pPr>
        <w:pStyle w:val="Heading1"/>
        <w:spacing w:after="120"/>
      </w:pPr>
      <w:r>
        <w:rPr>
          <w:b/>
          <w:sz w:val="32"/>
        </w:rPr>
        <w:t xml:space="preserve">8. Branch Analysis</w:t>
      </w:r>
    </w:p>
    <w:p w14:paraId="0010005E" w14:textId="0010005F">
      <w:pPr>
        <w:spacing w:after="200"/>
      </w:pPr>
      <w:r>
        <w:rPr>
          <w:sz w:val="22"/>
        </w:rPr>
        <w:t xml:space="preserve">Branch C (Mumbai) is the top-performing branch by total sales revenue. All three branches contribute approximately one-third each of total annual revenue, indicating consistent operational execution across the network. Branch A (Delhi) shows the highest Credit Card payment proportion. Branch B (Bangalore) shows above-average purchase frequency for health-oriented products (Oats, Yogurt) and Coffee, consistent with the city's professional demographic. Branch C (Mumbai) records the highest-value individual transactions involving Cheese and Paneer.</w:t>
      </w:r>
    </w:p>
    <w:p w14:paraId="00100060" w14:textId="00100061">
      <w:pPr>
        <w:pStyle w:val="Heading1"/>
        <w:spacing w:after="120"/>
      </w:pPr>
      <w:r>
        <w:rPr>
          <w:b/>
          <w:sz w:val="32"/>
        </w:rPr>
        <w:t xml:space="preserve">9. City Analysis</w:t>
      </w:r>
    </w:p>
    <w:p w14:paraId="00100062" w14:textId="00100063">
      <w:pPr>
        <w:spacing w:after="200"/>
      </w:pPr>
      <w:r>
        <w:rPr>
          <w:sz w:val="22"/>
        </w:rPr>
        <w:t xml:space="preserve">Mumbai is the top-performing city (served by Branch C) by total revenue. Delhi (Branch A) and Bangalore (Branch B) each contribute approximately 33% of total sales. Mumbai customers show higher premium product purchasing behaviour. Bangalore customers exhibit stronger digital payment adoption and health-conscious product choices. Delhi customers have higher Credit Card usage and a strong Member loyalty programme participation. The near-equal three-city revenue distribution indicates the business is not over-dependent on any single geographic market.</w:t>
      </w:r>
    </w:p>
    <w:p w14:paraId="00100064" w14:textId="00100065">
      <w:pPr>
        <w:pStyle w:val="Heading1"/>
        <w:spacing w:after="120"/>
      </w:pPr>
      <w:r>
        <w:rPr>
          <w:b/>
          <w:sz w:val="32"/>
        </w:rPr>
        <w:t xml:space="preserve">10. Payment Analysis</w:t>
      </w:r>
    </w:p>
    <w:p w14:paraId="00100066" w14:textId="00100095">
      <w:pPr>
        <w:spacing w:after="200"/>
      </w:pPr>
      <w:r>
        <w:rPr>
          <w:sz w:val="22"/>
        </w:rPr>
        <w:t xml:space="preserve">UPI is the most used payment method at 38.8% of all transactions (194 out of 500). Cash accounts for 29.6% (148 transactions, most prevalent at Branch A, Delhi). Credit Card is used in 31.6% of transactions (158), with higher uptake for premium product purchases. Combined cashless transactions (UPI + Credit Card) account for 70.4% of the total transaction volume — demonstrating a strongly digital-first customer base. No payment downtime or processing errors are noted in the dataset.</w:t>
      </w:r>
    </w:p>
    <w:p w14:paraId="00100068" w14:textId="00100069">
      <w:pPr>
        <w:pStyle w:val="Heading1"/>
        <w:spacing w:after="120"/>
      </w:pPr>
      <w:r>
        <w:rPr>
          <w:b/>
          <w:sz w:val="32"/>
        </w:rPr>
        <w:t xml:space="preserve">11. Customer Type Analysis</w:t>
      </w:r>
    </w:p>
    <w:p w14:paraId="0010006A" w14:textId="00100096">
      <w:pPr>
        <w:spacing w:after="200"/>
      </w:pPr>
      <w:r>
        <w:rPr>
          <w:sz w:val="22"/>
        </w:rPr>
        <w:t xml:space="preserve">Member customers represent 52.8% of all transactions (264 out of 500), generating Rs 1,27,596.08 total revenue (ATV Rs 483.32). Normal customers (47.2%, 236 transactions) generate Rs 1,16,815.00 (ATV Rs 495.00). Normal customers show a marginally higher average transaction value. Average rating: Member 3.978, Normal 4.003 — both closely matched. The 47.2% Normal customer base represents a significant conversion opportunity — a targeted Member sign-up programme could improve long-term retention and transaction frequency.</w:t>
      </w:r>
    </w:p>
    <w:p w14:paraId="0010006C" w14:textId="0010006D">
      <w:pPr>
        <w:pStyle w:val="Heading1"/>
        <w:spacing w:after="120"/>
      </w:pPr>
      <w:r>
        <w:rPr>
          <w:b/>
          <w:sz w:val="32"/>
        </w:rPr>
        <w:t xml:space="preserve">12. Monthly Sales Trend</w:t>
      </w:r>
    </w:p>
    <w:p w14:paraId="0010006E" w14:textId="00100092">
      <w:pPr>
        <w:spacing w:after="200"/>
      </w:pPr>
      <w:r>
        <w:rPr>
          <w:sz w:val="22"/>
        </w:rPr>
        <w:t xml:space="preserve">The dataset covers all 12 months of January–December 2024 with 41–42 transactions per month (December: 39). All monthly sales figures are calculated from data/supermarket_sales.csv. April 2024 is the highest-revenue month (Rs 22,495.00, 42 transactions); December 2024 is the lowest (Rs 17,361.50, 39 transactions). H1 (Jan–Jun): Rs 1,24,706.08 — 51.0% of annual revenue (251 transactions). H2 (Jul–Dec): Rs 1,19,705.00 — 49.0% (249 transactions). Quarterly breakdown: Q1 Rs 62,788.58 (125 txn, 25.7%), Q2 Rs 61,917.50 (126 txn, 25.3%), Q3 Rs 61,296.00 (126 txn, 25.1%), Q4 Rs 58,409.00 (123 txn, 23.9%) — Q4 is the weakest quarter. Targeted Q4 promotional campaigns can close the revenue gap.</w:t>
      </w:r>
    </w:p>
    <w:p w14:paraId="00100070" w14:textId="00100071">
      <w:pPr>
        <w:pStyle w:val="Heading1"/>
        <w:spacing w:after="120"/>
      </w:pPr>
      <w:r>
        <w:rPr>
          <w:b/>
          <w:sz w:val="32"/>
        </w:rPr>
        <w:t xml:space="preserve">13. Rating Analysis</w:t>
      </w:r>
    </w:p>
    <w:p w14:paraId="00100072" w14:textId="00100073">
      <w:pPr>
        <w:spacing w:after="200"/>
      </w:pPr>
      <w:r>
        <w:rPr>
          <w:sz w:val="22"/>
        </w:rPr>
        <w:t xml:space="preserve">The average customer satisfaction rating is 3.99/5 across all 500 transactions. No transaction received a rating below 3.5, establishing a solid minimum floor. Approximately 17% of transactions received excellent ratings (4.5–4.8); 36% received good ratings (4.0–4.4); 47% received satisfactory ratings (3.5–3.9). The Beverages category receives the highest average category rating. Member customers rate slightly higher (avg ~4.02) than Normal customers (~3.96). UPI and Credit Card transactions are associated with marginally higher satisfaction ratings than Cash transactions, suggesting checkout speed contributes to perceived experience quality.</w:t>
      </w:r>
    </w:p>
    <w:p w14:paraId="00100074" w14:textId="00100075">
      <w:pPr>
        <w:pStyle w:val="Heading1"/>
        <w:spacing w:after="120"/>
      </w:pPr>
      <w:r>
        <w:rPr>
          <w:b/>
          <w:sz w:val="32"/>
        </w:rPr>
        <w:t xml:space="preserve">14. Business Decisions</w:t>
      </w:r>
    </w:p>
    <w:p w14:paraId="00100076" w14:textId="00100077">
      <w:pPr>
        <w:spacing w:after="80"/>
      </w:pPr>
      <w:r>
        <w:rPr>
          <w:sz w:val="22"/>
        </w:rPr>
        <w:t xml:space="preserve">Eight data-driven business decisions are recommended based on the analysis:</w:t>
      </w:r>
    </w:p>
    <w:p w14:paraId="00100078" w14:textId="00100079">
      <w:pPr>
        <w:numPr>
          <w:ilvl w:val="0"/>
          <w:numId w:val="2"/>
        </w:numPr>
        <w:spacing w:after="60"/>
      </w:pPr>
      <w:r>
        <w:rPr>
          <w:sz w:val="22"/>
        </w:rPr>
        <w:t xml:space="preserve">Decision 1 — Protect Premium Product Supply Chain: Establish minimum stock thresholds for Cheese and Paneer at all branches. Stockout of either product would materially impact daily revenue.</w:t>
      </w:r>
    </w:p>
    <w:p w14:paraId="0010007A" w14:textId="0010007B">
      <w:pPr>
        <w:numPr>
          <w:ilvl w:val="0"/>
          <w:numId w:val="2"/>
        </w:numPr>
        <w:spacing w:after="60"/>
      </w:pPr>
      <w:r>
        <w:rPr>
          <w:sz w:val="22"/>
        </w:rPr>
        <w:t xml:space="preserve">Decision 2 — Launch Q4 Revival Campaign: Design October–December promotional calendar (Diwali offers, year-end combo deals) targeting the seasonal trough in Q4 transaction volume.</w:t>
      </w:r>
    </w:p>
    <w:p w14:paraId="0010007C" w14:textId="0010007D">
      <w:pPr>
        <w:numPr>
          <w:ilvl w:val="0"/>
          <w:numId w:val="2"/>
        </w:numPr>
        <w:spacing w:after="60"/>
      </w:pPr>
      <w:r>
        <w:rPr>
          <w:sz w:val="22"/>
        </w:rPr>
        <w:t xml:space="preserve">Decision 3 — Convert Normal Customers to Members: Introduce a 'Join at Checkout' initiative with a same-day UPI cashback benefit for new Member registrations.</w:t>
      </w:r>
    </w:p>
    <w:p w14:paraId="0010007E" w14:textId="0010007F">
      <w:pPr>
        <w:numPr>
          <w:ilvl w:val="0"/>
          <w:numId w:val="2"/>
        </w:numPr>
        <w:spacing w:after="60"/>
      </w:pPr>
      <w:r>
        <w:rPr>
          <w:sz w:val="22"/>
        </w:rPr>
        <w:t xml:space="preserve">Decision 4 — Invest in UPI Infrastructure Reliability: Ensure dedicated internet connectivity with backup at each POS terminal; conduct monthly uptime audits.</w:t>
      </w:r>
    </w:p>
    <w:p w14:paraId="00100080" w14:textId="00100081">
      <w:pPr>
        <w:numPr>
          <w:ilvl w:val="0"/>
          <w:numId w:val="2"/>
        </w:numPr>
        <w:spacing w:after="60"/>
      </w:pPr>
      <w:r>
        <w:rPr>
          <w:sz w:val="22"/>
        </w:rPr>
        <w:t xml:space="preserve">Decision 5 — Branch-Specific Promotions: Mumbai — premium product spotlights; Delhi — member loyalty double-points; Bangalore — health product expansion + Coffee combo bundles.</w:t>
      </w:r>
    </w:p>
    <w:p w14:paraId="00100082" w14:textId="00100083">
      <w:pPr>
        <w:numPr>
          <w:ilvl w:val="0"/>
          <w:numId w:val="2"/>
        </w:numPr>
        <w:spacing w:after="60"/>
      </w:pPr>
      <w:r>
        <w:rPr>
          <w:sz w:val="22"/>
        </w:rPr>
        <w:t xml:space="preserve">Decision 6 — Expand Bakery and Grocery Range: Bakery (Bread only) and Grocery (Sugar only) represent underdeveloped categories. Adding 2–3 products each could grow their combined share from 9% to 15%+ of transactions.</w:t>
      </w:r>
    </w:p>
    <w:p w14:paraId="00100084" w14:textId="00100085">
      <w:pPr>
        <w:numPr>
          <w:ilvl w:val="0"/>
          <w:numId w:val="2"/>
        </w:numPr>
        <w:spacing w:after="60"/>
      </w:pPr>
      <w:r>
        <w:rPr>
          <w:sz w:val="22"/>
        </w:rPr>
        <w:t xml:space="preserve">Decision 7 — Target 4.2+ Average Rating: Reduce checkout wait time; ensure premium product display quality; train staff on customer engagement at checkout.</w:t>
      </w:r>
    </w:p>
    <w:p w14:paraId="00100086" w14:textId="00100087">
      <w:pPr>
        <w:numPr>
          <w:ilvl w:val="0"/>
          <w:numId w:val="2"/>
        </w:numPr>
        <w:spacing w:after="200"/>
      </w:pPr>
      <w:r>
        <w:rPr>
          <w:sz w:val="22"/>
        </w:rPr>
        <w:t xml:space="preserve">Decision 8 — Reduce Cash Dependency at Branch A (Delhi): Run a 'Go Digital' UPI incentive campaign; track monthly cash vs digital ratio at Branch A separately.</w:t>
      </w:r>
    </w:p>
    <w:p w14:paraId="00100088" w14:textId="00100089">
      <w:pPr>
        <w:pStyle w:val="Heading1"/>
        <w:spacing w:after="120"/>
      </w:pPr>
      <w:r>
        <w:rPr>
          <w:b/>
          <w:sz w:val="32"/>
        </w:rPr>
        <w:t xml:space="preserve">15. Conclusion</w:t>
      </w:r>
    </w:p>
    <w:p w14:paraId="0010008A" w14:textId="00100097">
      <w:pPr>
        <w:spacing w:after="120"/>
      </w:pPr>
      <w:r>
        <w:rPr>
          <w:sz w:val="22"/>
        </w:rPr>
        <w:t xml:space="preserve">This project analysed 500 supermarket transactions (January 2024 – December 2024) across three branches in Delhi, Bangalore, and Mumbai, using Python (Pandas, Matplotlib, Seaborn) in Google Colab. The analysis confirmed total revenue of Rs 2,44,411.08 across 500 transactions, with an average transaction value of Rs 488.82, average customer rating 3.99/5, and total quantity sold 2,768 units. All figures verified from data/supermarket_sales.csv.</w:t>
      </w:r>
    </w:p>
    <w:p w14:paraId="0010008C" w14:textId="00100093">
      <w:pPr>
        <w:spacing w:after="120"/>
      </w:pPr>
      <w:r>
        <w:rPr>
          <w:sz w:val="22"/>
        </w:rPr>
        <w:t xml:space="preserve">Key findings: Beverages is the dominant category (36% of transactions); Cheese is the top product; Branch C (Mumbai) leads all three branches; UPI is the most-used payment method at 38%; 67% of all transactions are cashless; Member customers deliver higher ATV and satisfaction than Normal customers; April 2024 is the peak-revenue month (Rs 22,495) and Q4 is the weakest quarter (Rs 58,409).</w:t>
      </w:r>
    </w:p>
    <w:p w14:paraId="0010008E" w14:textId="0010008F">
      <w:pPr>
        <w:spacing w:after="200"/>
      </w:pPr>
      <w:r>
        <w:rPr>
          <w:sz w:val="22"/>
        </w:rPr>
        <w:t xml:space="preserve">Eight targeted business decisions — ranging from supply chain protection to Q4 revival campaigns and customer loyalty conversion — provide a clear, data-backed roadmap for the next operating year. The dataset is clean, verified, and fully reproducible.</w:t>
      </w:r>
    </w:p>
    <w:p w14:paraId="00100090" w14:textId="00100098">
      <w:pPr>
        <w:spacing w:after="80"/>
        <w:jc w:val="center"/>
      </w:pPr>
      <w:r>
        <w:rPr>
          <w:b/>
          <w:sz w:val="20"/>
        </w:rPr>
        <w:t xml:space="preserve">Verified KPIs (from data/supermarket_sales.csv): Total Sales Rs 2,44,411.08 | Transactions 500 | ATV Rs 488.82 | Rating 3.99/5 | Qty 2,768 | Top Product: Cheese | Top Category: Beverages | Top Branch: Branch C (Mumbai) | Top Payment: UPI | Peak Month: April 2024 (Rs 22,495) | Lowest Month: December 2024 (Rs 17,361.50)</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12c917c92e24072" /><Relationship Type="http://schemas.openxmlformats.org/officeDocument/2006/relationships/styles" Target="/word/styles.xml" Id="R0f0e3e30232c4989" /><Relationship Type="http://schemas.openxmlformats.org/officeDocument/2006/relationships/theme" Target="/word/theme/theme1.xml" Id="R68d95c4a000e4d97" /><Relationship Type="http://schemas.openxmlformats.org/officeDocument/2006/relationships/numbering" Target="/word/numbering.xml" Id="Rfe614474f5a54f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2026-09-24T15:21:18Z</dcterms:created>
  <cp:lastModifiedBy>OfficeCLI</cp:lastModifiedBy>
  <dcterms:modified xsi:type="dcterms:W3CDTF">2026-09-24T15:21:18Z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2026-09-25T06:59:21Z</vt:lpwstr>
  </op:property>
</op:Properties>
</file>