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pPr>
      <w:r>
        <w:rPr>
          <w:rFonts w:ascii="Arial" w:hAnsi="Arial"/>
          <w:b/>
          <w:color w:val="1F4E78"/>
          <w:sz w:val="40"/>
        </w:rPr>
        <w:t>MCA MAJOR PROJECT REPORT</w:t>
      </w:r>
    </w:p>
    <w:p>
      <w:pPr>
        <w:keepNext/>
        <w:spacing w:before="360" w:after="240"/>
      </w:pPr>
      <w:r>
        <w:rPr>
          <w:rFonts w:ascii="Arial" w:hAnsi="Arial"/>
          <w:b/>
          <w:color w:val="1F4E78"/>
          <w:sz w:val="40"/>
        </w:rPr>
        <w:t>AI-Powered Bloom Taxonomy Classification and Difficulty-Aware Question Transformation System (BloomEngine)</w:t>
      </w:r>
    </w:p>
    <w:p>
      <w:pPr>
        <w:keepNext/>
        <w:spacing w:before="280" w:after="120"/>
      </w:pPr>
      <w:r>
        <w:rPr>
          <w:rFonts w:ascii="Arial" w:hAnsi="Arial"/>
          <w:b/>
          <w:color w:val="2E75B6"/>
          <w:sz w:val="30"/>
        </w:rPr>
        <w:t>TABLE OF CONTENTS</w:t>
      </w:r>
    </w:p>
    <w:p>
      <w:pPr>
        <w:pStyle w:val="ListNumber"/>
        <w:spacing w:before="40" w:after="40"/>
      </w:pPr>
      <w:r/>
      <w:r>
        <w:rPr>
          <w:b/>
        </w:rPr>
        <w:t>Introduction</w:t>
      </w:r>
      <w:r/>
    </w:p>
    <w:p>
      <w:pPr>
        <w:pStyle w:val="ListBullet"/>
        <w:spacing w:before="40" w:after="40"/>
      </w:pPr>
      <w:r>
        <w:t>1.1 Introduction to the Project</w:t>
      </w:r>
    </w:p>
    <w:p>
      <w:pPr>
        <w:pStyle w:val="ListBullet"/>
        <w:spacing w:before="40" w:after="40"/>
      </w:pPr>
      <w:r>
        <w:t>1.2 Statement of the Problem</w:t>
      </w:r>
    </w:p>
    <w:p>
      <w:pPr>
        <w:pStyle w:val="ListBullet"/>
        <w:spacing w:before="40" w:after="40"/>
      </w:pPr>
      <w:r>
        <w:t>1.3 System Specifications</w:t>
      </w:r>
    </w:p>
    <w:p>
      <w:pPr>
        <w:pStyle w:val="ListNumber"/>
        <w:spacing w:before="40" w:after="40"/>
      </w:pPr>
      <w:r/>
      <w:r>
        <w:rPr>
          <w:b/>
        </w:rPr>
        <w:t>Literature Survey</w:t>
      </w:r>
      <w:r/>
    </w:p>
    <w:p>
      <w:pPr>
        <w:pStyle w:val="ListNumber"/>
        <w:spacing w:before="40" w:after="40"/>
      </w:pPr>
      <w:r/>
      <w:r>
        <w:rPr>
          <w:b/>
        </w:rPr>
        <w:t>System Analysis</w:t>
      </w:r>
      <w:r/>
    </w:p>
    <w:p>
      <w:pPr>
        <w:pStyle w:val="ListBullet"/>
        <w:spacing w:before="40" w:after="40"/>
      </w:pPr>
      <w:r>
        <w:t>3.1 Existing System</w:t>
      </w:r>
    </w:p>
    <w:p>
      <w:pPr>
        <w:pStyle w:val="ListBullet"/>
        <w:spacing w:before="40" w:after="40"/>
      </w:pPr>
      <w:r>
        <w:t>3.2 Limitations of Existing System</w:t>
      </w:r>
    </w:p>
    <w:p>
      <w:pPr>
        <w:pStyle w:val="ListBullet"/>
        <w:spacing w:before="40" w:after="40"/>
      </w:pPr>
      <w:r>
        <w:t>3.3 Proposed System</w:t>
      </w:r>
    </w:p>
    <w:p>
      <w:pPr>
        <w:pStyle w:val="ListBullet"/>
        <w:spacing w:before="40" w:after="40"/>
      </w:pPr>
      <w:r>
        <w:t>3.4 Advantages of Proposed System</w:t>
      </w:r>
    </w:p>
    <w:p>
      <w:pPr>
        <w:pStyle w:val="ListNumber"/>
        <w:spacing w:before="40" w:after="40"/>
      </w:pPr>
      <w:r/>
      <w:r>
        <w:rPr>
          <w:b/>
        </w:rPr>
        <w:t>System Design</w:t>
      </w:r>
      <w:r/>
    </w:p>
    <w:p>
      <w:pPr>
        <w:pStyle w:val="ListBullet"/>
        <w:spacing w:before="40" w:after="40"/>
      </w:pPr>
      <w:r>
        <w:t>4.1 High Level Design</w:t>
      </w:r>
    </w:p>
    <w:p>
      <w:pPr>
        <w:pStyle w:val="ListBullet"/>
        <w:spacing w:before="40" w:after="40"/>
      </w:pPr>
      <w:r>
        <w:t>4.2 Low Level Design</w:t>
      </w:r>
    </w:p>
    <w:p>
      <w:pPr>
        <w:pStyle w:val="ListNumber"/>
        <w:spacing w:before="40" w:after="40"/>
      </w:pPr>
      <w:r/>
      <w:r>
        <w:rPr>
          <w:b/>
        </w:rPr>
        <w:t>Data Collection and Preparation</w:t>
      </w:r>
      <w:r/>
    </w:p>
    <w:p>
      <w:pPr>
        <w:pStyle w:val="ListBullet"/>
        <w:spacing w:before="40" w:after="40"/>
      </w:pPr>
      <w:r>
        <w:t>5.1 Data Sources</w:t>
      </w:r>
    </w:p>
    <w:p>
      <w:pPr>
        <w:pStyle w:val="ListBullet"/>
        <w:spacing w:before="40" w:after="40"/>
      </w:pPr>
      <w:r>
        <w:t>5.2 Data Profiling</w:t>
      </w:r>
    </w:p>
    <w:p>
      <w:pPr>
        <w:pStyle w:val="ListBullet"/>
        <w:spacing w:before="40" w:after="40"/>
      </w:pPr>
      <w:r>
        <w:t>5.3 Data Cleaning and Preprocessing</w:t>
      </w:r>
    </w:p>
    <w:p>
      <w:pPr>
        <w:pStyle w:val="ListNumber"/>
        <w:spacing w:before="40" w:after="40"/>
      </w:pPr>
      <w:r/>
      <w:r>
        <w:rPr>
          <w:b/>
        </w:rPr>
        <w:t>Exploratory Data Analysis</w:t>
      </w:r>
      <w:r/>
    </w:p>
    <w:p>
      <w:pPr>
        <w:pStyle w:val="ListBullet"/>
        <w:spacing w:before="40" w:after="40"/>
      </w:pPr>
      <w:r>
        <w:t>6.1 Data Visualization Techniques</w:t>
      </w:r>
    </w:p>
    <w:p>
      <w:pPr>
        <w:pStyle w:val="ListBullet"/>
        <w:spacing w:before="40" w:after="40"/>
      </w:pPr>
      <w:r>
        <w:t>6.2 Univariate and Bivariate Analysis</w:t>
      </w:r>
    </w:p>
    <w:p>
      <w:pPr>
        <w:pStyle w:val="ListNumber"/>
        <w:spacing w:before="40" w:after="40"/>
      </w:pPr>
      <w:r/>
      <w:r>
        <w:rPr>
          <w:b/>
        </w:rPr>
        <w:t>Methodology</w:t>
      </w:r>
      <w:r/>
    </w:p>
    <w:p>
      <w:pPr>
        <w:pStyle w:val="ListBullet"/>
        <w:spacing w:before="40" w:after="40"/>
      </w:pPr>
      <w:r>
        <w:t>7.1 Data Models</w:t>
      </w:r>
    </w:p>
    <w:p>
      <w:pPr>
        <w:pStyle w:val="ListBullet"/>
        <w:spacing w:before="40" w:after="40"/>
      </w:pPr>
      <w:r>
        <w:t>7.2 Model Selection</w:t>
      </w:r>
    </w:p>
    <w:p>
      <w:pPr>
        <w:pStyle w:val="ListBullet"/>
        <w:spacing w:before="40" w:after="40"/>
      </w:pPr>
      <w:r>
        <w:t>7.3 Model Building</w:t>
      </w:r>
    </w:p>
    <w:p>
      <w:pPr>
        <w:pStyle w:val="ListBullet"/>
        <w:spacing w:before="40" w:after="40"/>
      </w:pPr>
      <w:r>
        <w:t>7.4 Results</w:t>
      </w:r>
    </w:p>
    <w:p>
      <w:pPr>
        <w:pStyle w:val="ListNumber"/>
        <w:spacing w:before="40" w:after="40"/>
      </w:pPr>
      <w:r/>
      <w:r>
        <w:rPr>
          <w:b/>
        </w:rPr>
        <w:t>Testing</w:t>
      </w:r>
      <w:r/>
    </w:p>
    <w:p>
      <w:pPr>
        <w:pStyle w:val="ListNumber"/>
        <w:spacing w:before="40" w:after="40"/>
      </w:pPr>
      <w:r/>
      <w:r>
        <w:rPr>
          <w:b/>
        </w:rPr>
        <w:t>SDG Mapping</w:t>
      </w:r>
      <w:r/>
    </w:p>
    <w:p>
      <w:pPr>
        <w:pStyle w:val="ListBullet"/>
        <w:spacing w:before="40" w:after="40"/>
      </w:pPr>
      <w:r>
        <w:t>9.1 Selected SDG Goal(s)</w:t>
      </w:r>
    </w:p>
    <w:p>
      <w:pPr>
        <w:pStyle w:val="ListBullet"/>
        <w:spacing w:before="40" w:after="40"/>
      </w:pPr>
      <w:r>
        <w:t>9.2 Specific Targets Addressed</w:t>
      </w:r>
    </w:p>
    <w:p>
      <w:pPr>
        <w:pStyle w:val="ListBullet"/>
        <w:spacing w:before="40" w:after="40"/>
      </w:pPr>
      <w:r>
        <w:t>9.3 Social Impact</w:t>
      </w:r>
    </w:p>
    <w:p>
      <w:pPr>
        <w:pStyle w:val="ListBullet"/>
        <w:spacing w:before="40" w:after="40"/>
      </w:pPr>
      <w:r>
        <w:t>9.4 Environmental Sustainability</w:t>
      </w:r>
    </w:p>
    <w:p>
      <w:pPr>
        <w:pStyle w:val="ListBullet"/>
        <w:spacing w:before="40" w:after="40"/>
      </w:pPr>
      <w:r>
        <w:t>9.5 Innovation Relevance</w:t>
      </w:r>
    </w:p>
    <w:p>
      <w:pPr>
        <w:pStyle w:val="ListNumber"/>
        <w:spacing w:before="40" w:after="40"/>
      </w:pPr>
      <w:r/>
      <w:r>
        <w:rPr>
          <w:b/>
        </w:rPr>
        <w:t>Conclusion</w:t>
      </w:r>
      <w:r/>
    </w:p>
    <w:p>
      <w:pPr>
        <w:pStyle w:val="ListNumber"/>
        <w:spacing w:before="40" w:after="40"/>
      </w:pPr>
      <w:r/>
      <w:r>
        <w:rPr>
          <w:b/>
        </w:rPr>
        <w:t>Bibliography</w:t>
      </w:r>
      <w:r/>
    </w:p>
    <w:p>
      <w:pPr>
        <w:pStyle w:val="ListNumber"/>
        <w:spacing w:before="40" w:after="40"/>
      </w:pPr>
      <w:r/>
      <w:r>
        <w:rPr>
          <w:b/>
        </w:rPr>
        <w:t>Appendix</w:t>
      </w:r>
      <w:r/>
    </w:p>
    <w:p>
      <w:pPr>
        <w:keepNext/>
        <w:spacing w:before="360" w:after="240"/>
      </w:pPr>
      <w:r>
        <w:rPr>
          <w:rFonts w:ascii="Arial" w:hAnsi="Arial"/>
          <w:b/>
          <w:color w:val="1F4E78"/>
          <w:sz w:val="40"/>
        </w:rPr>
        <w:t>CHAPTER 1: INTRODUCTION</w:t>
      </w:r>
    </w:p>
    <w:p>
      <w:pPr>
        <w:keepNext/>
        <w:spacing w:before="280" w:after="120"/>
      </w:pPr>
      <w:r>
        <w:rPr>
          <w:rFonts w:ascii="Arial" w:hAnsi="Arial"/>
          <w:b/>
          <w:color w:val="2E75B6"/>
          <w:sz w:val="30"/>
        </w:rPr>
        <w:t>1.1 Introduction to the Project</w:t>
      </w:r>
    </w:p>
    <w:p>
      <w:pPr>
        <w:spacing w:before="60" w:after="120" w:line="276" w:lineRule="auto"/>
      </w:pPr>
      <w:r>
        <w:t>In higher education assessment frameworks, particularly within technical disciplines such as Computer Science and Information Technology, evaluation instruments are fundamental to measuring cognitive learning outcomes. Traditional academic examination construction often relies heavily on lower-order cognitive questioning—such as verbatim recall of definitions, basic syntax identification, and simple factual recognition. While lower-order knowledge is foundational, industrial and academic standards necessitate that students demonstrate higher-order cognitive competencies, including system analysis, algorithmic design, comparative evaluation, and architectural synthesis.</w:t>
      </w:r>
    </w:p>
    <w:p>
      <w:pPr>
        <w:spacing w:before="60" w:after="120" w:line="276" w:lineRule="auto"/>
      </w:pPr>
      <w:r>
        <w:t>Benjamin Bloom’s Taxonomy of Educational Objectives, as revised by Anderson and Krathwohl (2001), structures cognitive domain processes into six distinct hierarchical levels:</w:t>
      </w:r>
    </w:p>
    <w:p>
      <w:pPr>
        <w:pStyle w:val="ListNumber"/>
        <w:spacing w:before="40" w:after="40"/>
      </w:pPr>
      <w:r/>
      <w:r>
        <w:rPr>
          <w:b/>
        </w:rPr>
        <w:t>Remember</w:t>
      </w:r>
      <w:r>
        <w:t>: Retrieving explicit knowledge from memory (e.g., *Define*, *List*, *State*).</w:t>
      </w:r>
    </w:p>
    <w:p>
      <w:pPr>
        <w:pStyle w:val="ListNumber"/>
        <w:spacing w:before="40" w:after="40"/>
      </w:pPr>
      <w:r/>
      <w:r>
        <w:rPr>
          <w:b/>
        </w:rPr>
        <w:t>Understand</w:t>
      </w:r>
      <w:r>
        <w:t>: Constructing conceptual meaning from instructional messages (e.g., *Explain*, *Describe*, *Summarize*).</w:t>
      </w:r>
    </w:p>
    <w:p>
      <w:pPr>
        <w:pStyle w:val="ListNumber"/>
        <w:spacing w:before="40" w:after="40"/>
      </w:pPr>
      <w:r/>
      <w:r>
        <w:rPr>
          <w:b/>
        </w:rPr>
        <w:t>Apply</w:t>
      </w:r>
      <w:r>
        <w:t>: Carrying out procedures in novel contexts (e.g., *Calculate*, *Execute*, *Implement*).</w:t>
      </w:r>
    </w:p>
    <w:p>
      <w:pPr>
        <w:pStyle w:val="ListNumber"/>
        <w:spacing w:before="40" w:after="40"/>
      </w:pPr>
      <w:r/>
      <w:r>
        <w:rPr>
          <w:b/>
        </w:rPr>
        <w:t>Analyze</w:t>
      </w:r>
      <w:r>
        <w:t>: Deconstructing materials into structural components and identifying relationships (e.g., *Differentiate*, *Deconstruct*, *Investigate*).</w:t>
      </w:r>
    </w:p>
    <w:p>
      <w:pPr>
        <w:pStyle w:val="ListNumber"/>
        <w:spacing w:before="40" w:after="40"/>
      </w:pPr>
      <w:r/>
      <w:r>
        <w:rPr>
          <w:b/>
        </w:rPr>
        <w:t>Evaluate</w:t>
      </w:r>
      <w:r>
        <w:t>: Making judgments based on specific qualitative or quantitative criteria (e.g., *Appraise*, *Critique*, *Justify*).</w:t>
      </w:r>
    </w:p>
    <w:p>
      <w:pPr>
        <w:pStyle w:val="ListNumber"/>
        <w:spacing w:before="40" w:after="40"/>
      </w:pPr>
      <w:r/>
      <w:r>
        <w:rPr>
          <w:b/>
        </w:rPr>
        <w:t>Create</w:t>
      </w:r>
      <w:r>
        <w:t>: Synthesizing elements to form an original, functional whole or new structure (e.g., *Architect*, *Formulate*, *Design*).</w:t>
      </w:r>
    </w:p>
    <w:p>
      <w:pPr>
        <w:spacing w:before="60" w:after="120" w:line="276" w:lineRule="auto"/>
      </w:pPr>
      <w:r>
        <w:t>Manually elevating lower-order question banks to match target higher-order cognitive categories demands extensive domain expertise, continuous editorial review, and substantial temporal effort. Furthermore, manual rewriting frequently introduces unintended conceptual drift, corrupted technical jargon, or inaccurate numeric constants.</w:t>
      </w:r>
    </w:p>
    <w:p>
      <w:pPr>
        <w:spacing w:before="60" w:after="120" w:line="276" w:lineRule="auto"/>
      </w:pPr>
      <w:r>
        <w:t xml:space="preserve">To solve these challenges, </w:t>
      </w:r>
      <w:r>
        <w:rPr>
          <w:b/>
        </w:rPr>
        <w:t>BloomEngine</w:t>
      </w:r>
      <w:r>
        <w:t xml:space="preserve"> was developed as an AI-powered Bloom Taxonomy Classification and Difficulty-Aware Question Transformation System. The system orchestrates fine-tuned deep learning models—specifically </w:t>
      </w:r>
      <w:r>
        <w:rPr>
          <w:b/>
        </w:rPr>
        <w:t>DeBERTa-v3</w:t>
      </w:r>
      <w:r>
        <w:t xml:space="preserve"> for sequence classification and </w:t>
      </w:r>
      <w:r>
        <w:rPr>
          <w:b/>
        </w:rPr>
        <w:t>FLAN-T5</w:t>
      </w:r>
      <w:r>
        <w:t xml:space="preserve"> for sequence-to-sequence transformation—alongside spaCy linguistic parsing, SentenceTransformer vector embeddings, and a multi-stage validation engine. BloomEngine automatically elevates low-cognitive assessment questions into verified, high-cognitive assessment items while maintaining subject-matter concepts, technical entities, numerical integrity, and domain context.</w:t>
      </w:r>
    </w:p>
    <w:p>
      <w:pPr>
        <w:keepNext/>
        <w:spacing w:before="280" w:after="120"/>
      </w:pPr>
      <w:r>
        <w:rPr>
          <w:rFonts w:ascii="Arial" w:hAnsi="Arial"/>
          <w:b/>
          <w:color w:val="2E75B6"/>
          <w:sz w:val="30"/>
        </w:rPr>
        <w:t>1.2 Statement of the Problem</w:t>
      </w:r>
    </w:p>
    <w:p>
      <w:pPr>
        <w:spacing w:before="60" w:after="120" w:line="276" w:lineRule="auto"/>
      </w:pPr>
      <w:r>
        <w:t>The automated construction of academic assessment items using unconstrained generative language models encounters severe structural failure modes that prohibit direct adoption in academic environments:</w:t>
      </w:r>
    </w:p>
    <w:p>
      <w:pPr>
        <w:pStyle w:val="ListNumber"/>
        <w:spacing w:before="40" w:after="40"/>
      </w:pPr>
      <w:r/>
      <w:r>
        <w:rPr>
          <w:b/>
        </w:rPr>
        <w:t>Test Bank Cognitive Imbalance</w:t>
      </w:r>
      <w:r>
        <w:t>: Academic question repositories are predominantly composed of recall-oriented questions (*Remember* and *Understand*). Manually rewriting thousands of items to higher cognitive tiers (*Analyze*, *Evaluate*, *Create*) is labor-intensive and error-prone.</w:t>
      </w:r>
    </w:p>
    <w:p>
      <w:pPr>
        <w:pStyle w:val="ListNumber"/>
        <w:spacing w:before="40" w:after="40"/>
      </w:pPr>
      <w:r/>
      <w:r>
        <w:rPr>
          <w:b/>
        </w:rPr>
        <w:t>Subject-Matter Concept Drift</w:t>
      </w:r>
      <w:r>
        <w:t>: Generic generative language models frequently alter core technical concepts during rephrasing (e.g., altering "B-Tree index node splitting" to general "search list sorting"), rendering the resulting item pedagogically invalid.</w:t>
      </w:r>
    </w:p>
    <w:p>
      <w:pPr>
        <w:pStyle w:val="ListNumber"/>
        <w:spacing w:before="40" w:after="40"/>
      </w:pPr>
      <w:r/>
      <w:r>
        <w:rPr>
          <w:b/>
        </w:rPr>
        <w:t>Entity and Numeric Mutation</w:t>
      </w:r>
      <w:r>
        <w:t>: Language models frequently hallucinate or modify domain-specific constants, IP address structures, protocol numbers, or algorithm variable names during transformation.</w:t>
      </w:r>
    </w:p>
    <w:p>
      <w:pPr>
        <w:pStyle w:val="ListNumber"/>
        <w:spacing w:before="40" w:after="40"/>
      </w:pPr>
      <w:r/>
      <w:r>
        <w:rPr>
          <w:b/>
        </w:rPr>
        <w:t>Lack of Taxonomic Precision</w:t>
      </w:r>
      <w:r>
        <w:t>: Pre-trained language models without specialized fine-tuning fail to consistently hit exact target Bloom cognitive levels, often producing questions that match unintended cognitive categories.</w:t>
      </w:r>
    </w:p>
    <w:p>
      <w:pPr>
        <w:pStyle w:val="ListNumber"/>
        <w:spacing w:before="40" w:after="40"/>
      </w:pPr>
      <w:r/>
      <w:r>
        <w:rPr>
          <w:b/>
        </w:rPr>
        <w:t>Absence of Quality Control Pipelines</w:t>
      </w:r>
      <w:r>
        <w:t>: Standard AI interfaces do not provide automated multi-stage verification to enforce syntactic correctness, concept retention, non-duplication, and semantic alignment prior to test bank insertion.</w:t>
      </w:r>
    </w:p>
    <w:p>
      <w:pPr>
        <w:spacing w:before="60" w:after="120" w:line="276" w:lineRule="auto"/>
      </w:pPr>
      <w:r>
        <w:t>BloomEngine systematically resolves these challenges by coupling fine-tuned seq2seq generation with a multi-candidate ranking algorithm and a strict modular NLP validation engine. This guarantees that every transformed question retains the key concepts of the original item while adhering strictly to the desired Bloom cognitive level.</w:t>
      </w:r>
    </w:p>
    <w:p>
      <w:pPr>
        <w:keepNext/>
        <w:spacing w:before="280" w:after="120"/>
      </w:pPr>
      <w:r>
        <w:rPr>
          <w:rFonts w:ascii="Arial" w:hAnsi="Arial"/>
          <w:b/>
          <w:color w:val="2E75B6"/>
          <w:sz w:val="30"/>
        </w:rPr>
        <w:t>1.3 System Specifications</w:t>
      </w:r>
    </w:p>
    <w:p>
      <w:pPr>
        <w:keepNext/>
        <w:spacing w:before="200" w:after="80"/>
      </w:pPr>
      <w:r>
        <w:rPr>
          <w:rFonts w:ascii="Arial" w:hAnsi="Arial"/>
          <w:b/>
          <w:color w:val="333333"/>
          <w:sz w:val="25"/>
        </w:rPr>
        <w:t>1.3.1 Hardware Specifications</w:t>
      </w:r>
    </w:p>
    <w:p>
      <w:pPr>
        <w:spacing w:before="60" w:after="120" w:line="276" w:lineRule="auto"/>
      </w:pPr>
      <w:r/>
      <w:r>
        <w:rPr>
          <w:i/>
          <w:color w:val="555555"/>
        </w:rPr>
        <w:t>Table 1.1: System Hardware Specifications.</w:t>
      </w:r>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shd w:fill="1F4E78"/>
          </w:tcPr>
          <w:p>
            <w:pPr>
              <w:spacing w:before="60" w:after="60"/>
            </w:pPr>
            <w:r>
              <w:rPr>
                <w:b/>
                <w:color w:val="FFFFFF"/>
                <w:sz w:val="20"/>
              </w:rPr>
              <w:t>Hardware Component</w:t>
            </w:r>
          </w:p>
        </w:tc>
        <w:tc>
          <w:tcPr>
            <w:tcW w:type="dxa" w:w="3120"/>
            <w:tcMar>
              <w:top w:w="120" w:type="dxa"/>
              <w:bottom w:w="120" w:type="dxa"/>
              <w:left w:w="150" w:type="dxa"/>
              <w:right w:w="150" w:type="dxa"/>
            </w:tcMar>
            <w:shd w:fill="1F4E78"/>
          </w:tcPr>
          <w:p>
            <w:pPr>
              <w:spacing w:before="60" w:after="60"/>
            </w:pPr>
            <w:r>
              <w:rPr>
                <w:b/>
                <w:color w:val="FFFFFF"/>
                <w:sz w:val="20"/>
              </w:rPr>
              <w:t>Minimum Specification</w:t>
            </w:r>
          </w:p>
        </w:tc>
        <w:tc>
          <w:tcPr>
            <w:tcW w:type="dxa" w:w="3120"/>
            <w:tcMar>
              <w:top w:w="120" w:type="dxa"/>
              <w:bottom w:w="120" w:type="dxa"/>
              <w:left w:w="150" w:type="dxa"/>
              <w:right w:w="150" w:type="dxa"/>
            </w:tcMar>
            <w:shd w:fill="1F4E78"/>
          </w:tcPr>
          <w:p>
            <w:pPr>
              <w:spacing w:before="60" w:after="60"/>
            </w:pPr>
            <w:r>
              <w:rPr>
                <w:b/>
                <w:color w:val="FFFFFF"/>
                <w:sz w:val="20"/>
              </w:rPr>
              <w:t>Recommended Specification</w:t>
            </w:r>
          </w:p>
        </w:tc>
      </w:tr>
      <w:tr>
        <w:tc>
          <w:tcPr>
            <w:tcW w:type="dxa" w:w="3120"/>
            <w:tcMar>
              <w:top w:w="120" w:type="dxa"/>
              <w:bottom w:w="120" w:type="dxa"/>
              <w:left w:w="150" w:type="dxa"/>
              <w:right w:w="150" w:type="dxa"/>
            </w:tcMar>
            <w:shd w:fill="F2F4F8"/>
          </w:tcPr>
          <w:p>
            <w:pPr>
              <w:spacing w:before="60" w:after="60"/>
            </w:pPr>
            <w:r>
              <w:rPr>
                <w:sz w:val="19"/>
              </w:rPr>
              <w:t>**Central Processing Unit (CPU)**</w:t>
            </w:r>
          </w:p>
        </w:tc>
        <w:tc>
          <w:tcPr>
            <w:tcW w:type="dxa" w:w="3120"/>
            <w:tcMar>
              <w:top w:w="120" w:type="dxa"/>
              <w:bottom w:w="120" w:type="dxa"/>
              <w:left w:w="150" w:type="dxa"/>
              <w:right w:w="150" w:type="dxa"/>
            </w:tcMar>
            <w:shd w:fill="F2F4F8"/>
          </w:tcPr>
          <w:p>
            <w:pPr>
              <w:spacing w:before="60" w:after="60"/>
            </w:pPr>
            <w:r>
              <w:rPr>
                <w:sz w:val="19"/>
              </w:rPr>
              <w:t>Intel Core i5 / AMD Ryzen 5 (4 Cores, 2.5 GHz)</w:t>
            </w:r>
          </w:p>
        </w:tc>
        <w:tc>
          <w:tcPr>
            <w:tcW w:type="dxa" w:w="3120"/>
            <w:tcMar>
              <w:top w:w="120" w:type="dxa"/>
              <w:bottom w:w="120" w:type="dxa"/>
              <w:left w:w="150" w:type="dxa"/>
              <w:right w:w="150" w:type="dxa"/>
            </w:tcMar>
            <w:shd w:fill="F2F4F8"/>
          </w:tcPr>
          <w:p>
            <w:pPr>
              <w:spacing w:before="60" w:after="60"/>
            </w:pPr>
            <w:r>
              <w:rPr>
                <w:sz w:val="19"/>
              </w:rPr>
              <w:t>Intel Core i7 / AMD Ryzen 7 (8 Cores, 3.5 GHz+)</w:t>
            </w:r>
          </w:p>
        </w:tc>
      </w:tr>
      <w:tr>
        <w:tc>
          <w:tcPr>
            <w:tcW w:type="dxa" w:w="3120"/>
            <w:tcMar>
              <w:top w:w="120" w:type="dxa"/>
              <w:bottom w:w="120" w:type="dxa"/>
              <w:left w:w="150" w:type="dxa"/>
              <w:right w:w="150" w:type="dxa"/>
            </w:tcMar>
            <w:shd w:fill="FFFFFF"/>
          </w:tcPr>
          <w:p>
            <w:pPr>
              <w:spacing w:before="60" w:after="60"/>
            </w:pPr>
            <w:r>
              <w:rPr>
                <w:sz w:val="19"/>
              </w:rPr>
              <w:t>**System Memory (RAM)**</w:t>
            </w:r>
          </w:p>
        </w:tc>
        <w:tc>
          <w:tcPr>
            <w:tcW w:type="dxa" w:w="3120"/>
            <w:tcMar>
              <w:top w:w="120" w:type="dxa"/>
              <w:bottom w:w="120" w:type="dxa"/>
              <w:left w:w="150" w:type="dxa"/>
              <w:right w:w="150" w:type="dxa"/>
            </w:tcMar>
            <w:shd w:fill="FFFFFF"/>
          </w:tcPr>
          <w:p>
            <w:pPr>
              <w:spacing w:before="60" w:after="60"/>
            </w:pPr>
            <w:r>
              <w:rPr>
                <w:sz w:val="19"/>
              </w:rPr>
              <w:t>16 GB DDR4</w:t>
            </w:r>
          </w:p>
        </w:tc>
        <w:tc>
          <w:tcPr>
            <w:tcW w:type="dxa" w:w="3120"/>
            <w:tcMar>
              <w:top w:w="120" w:type="dxa"/>
              <w:bottom w:w="120" w:type="dxa"/>
              <w:left w:w="150" w:type="dxa"/>
              <w:right w:w="150" w:type="dxa"/>
            </w:tcMar>
            <w:shd w:fill="FFFFFF"/>
          </w:tcPr>
          <w:p>
            <w:pPr>
              <w:spacing w:before="60" w:after="60"/>
            </w:pPr>
            <w:r>
              <w:rPr>
                <w:sz w:val="19"/>
              </w:rPr>
              <w:t>32 GB DDR4 / DDR5</w:t>
            </w:r>
          </w:p>
        </w:tc>
      </w:tr>
      <w:tr>
        <w:tc>
          <w:tcPr>
            <w:tcW w:type="dxa" w:w="3120"/>
            <w:tcMar>
              <w:top w:w="120" w:type="dxa"/>
              <w:bottom w:w="120" w:type="dxa"/>
              <w:left w:w="150" w:type="dxa"/>
              <w:right w:w="150" w:type="dxa"/>
            </w:tcMar>
            <w:shd w:fill="F2F4F8"/>
          </w:tcPr>
          <w:p>
            <w:pPr>
              <w:spacing w:before="60" w:after="60"/>
            </w:pPr>
            <w:r>
              <w:rPr>
                <w:sz w:val="19"/>
              </w:rPr>
              <w:t>**Graphics Processing Unit (GPU)**</w:t>
            </w:r>
          </w:p>
        </w:tc>
        <w:tc>
          <w:tcPr>
            <w:tcW w:type="dxa" w:w="3120"/>
            <w:tcMar>
              <w:top w:w="120" w:type="dxa"/>
              <w:bottom w:w="120" w:type="dxa"/>
              <w:left w:w="150" w:type="dxa"/>
              <w:right w:w="150" w:type="dxa"/>
            </w:tcMar>
            <w:shd w:fill="F2F4F8"/>
          </w:tcPr>
          <w:p>
            <w:pPr>
              <w:spacing w:before="60" w:after="60"/>
            </w:pPr>
            <w:r>
              <w:rPr>
                <w:sz w:val="19"/>
              </w:rPr>
              <w:t>NVIDIA GTX 1660 (6 GB VRAM)</w:t>
            </w:r>
          </w:p>
        </w:tc>
        <w:tc>
          <w:tcPr>
            <w:tcW w:type="dxa" w:w="3120"/>
            <w:tcMar>
              <w:top w:w="120" w:type="dxa"/>
              <w:bottom w:w="120" w:type="dxa"/>
              <w:left w:w="150" w:type="dxa"/>
              <w:right w:w="150" w:type="dxa"/>
            </w:tcMar>
            <w:shd w:fill="F2F4F8"/>
          </w:tcPr>
          <w:p>
            <w:pPr>
              <w:spacing w:before="60" w:after="60"/>
            </w:pPr>
            <w:r>
              <w:rPr>
                <w:sz w:val="19"/>
              </w:rPr>
              <w:t>NVIDIA RTX 3080 / RTX 4080 (10 GB+ VRAM, CUDA 12.x)</w:t>
            </w:r>
          </w:p>
        </w:tc>
      </w:tr>
      <w:tr>
        <w:tc>
          <w:tcPr>
            <w:tcW w:type="dxa" w:w="3120"/>
            <w:tcMar>
              <w:top w:w="120" w:type="dxa"/>
              <w:bottom w:w="120" w:type="dxa"/>
              <w:left w:w="150" w:type="dxa"/>
              <w:right w:w="150" w:type="dxa"/>
            </w:tcMar>
            <w:shd w:fill="FFFFFF"/>
          </w:tcPr>
          <w:p>
            <w:pPr>
              <w:spacing w:before="60" w:after="60"/>
            </w:pPr>
            <w:r>
              <w:rPr>
                <w:sz w:val="19"/>
              </w:rPr>
              <w:t>**Storage Capacity**</w:t>
            </w:r>
          </w:p>
        </w:tc>
        <w:tc>
          <w:tcPr>
            <w:tcW w:type="dxa" w:w="3120"/>
            <w:tcMar>
              <w:top w:w="120" w:type="dxa"/>
              <w:bottom w:w="120" w:type="dxa"/>
              <w:left w:w="150" w:type="dxa"/>
              <w:right w:w="150" w:type="dxa"/>
            </w:tcMar>
            <w:shd w:fill="FFFFFF"/>
          </w:tcPr>
          <w:p>
            <w:pPr>
              <w:spacing w:before="60" w:after="60"/>
            </w:pPr>
            <w:r>
              <w:rPr>
                <w:sz w:val="19"/>
              </w:rPr>
              <w:t>25 GB Available SSD Space</w:t>
            </w:r>
          </w:p>
        </w:tc>
        <w:tc>
          <w:tcPr>
            <w:tcW w:type="dxa" w:w="3120"/>
            <w:tcMar>
              <w:top w:w="120" w:type="dxa"/>
              <w:bottom w:w="120" w:type="dxa"/>
              <w:left w:w="150" w:type="dxa"/>
              <w:right w:w="150" w:type="dxa"/>
            </w:tcMar>
            <w:shd w:fill="FFFFFF"/>
          </w:tcPr>
          <w:p>
            <w:pPr>
              <w:spacing w:before="60" w:after="60"/>
            </w:pPr>
            <w:r>
              <w:rPr>
                <w:sz w:val="19"/>
              </w:rPr>
              <w:t>50 GB NVMe M.2 SSD</w:t>
            </w:r>
          </w:p>
        </w:tc>
      </w:tr>
      <w:tr>
        <w:tc>
          <w:tcPr>
            <w:tcW w:type="dxa" w:w="3120"/>
            <w:tcMar>
              <w:top w:w="120" w:type="dxa"/>
              <w:bottom w:w="120" w:type="dxa"/>
              <w:left w:w="150" w:type="dxa"/>
              <w:right w:w="150" w:type="dxa"/>
            </w:tcMar>
            <w:shd w:fill="F2F4F8"/>
          </w:tcPr>
          <w:p>
            <w:pPr>
              <w:spacing w:before="60" w:after="60"/>
            </w:pPr>
            <w:r>
              <w:rPr>
                <w:sz w:val="19"/>
              </w:rPr>
              <w:t>**Display Resolution**</w:t>
            </w:r>
          </w:p>
        </w:tc>
        <w:tc>
          <w:tcPr>
            <w:tcW w:type="dxa" w:w="3120"/>
            <w:tcMar>
              <w:top w:w="120" w:type="dxa"/>
              <w:bottom w:w="120" w:type="dxa"/>
              <w:left w:w="150" w:type="dxa"/>
              <w:right w:w="150" w:type="dxa"/>
            </w:tcMar>
            <w:shd w:fill="F2F4F8"/>
          </w:tcPr>
          <w:p>
            <w:pPr>
              <w:spacing w:before="60" w:after="60"/>
            </w:pPr>
            <w:r>
              <w:rPr>
                <w:sz w:val="19"/>
              </w:rPr>
              <w:t>$1366 \times 768$ Pixels</w:t>
            </w:r>
          </w:p>
        </w:tc>
        <w:tc>
          <w:tcPr>
            <w:tcW w:type="dxa" w:w="3120"/>
            <w:tcMar>
              <w:top w:w="120" w:type="dxa"/>
              <w:bottom w:w="120" w:type="dxa"/>
              <w:left w:w="150" w:type="dxa"/>
              <w:right w:w="150" w:type="dxa"/>
            </w:tcMar>
            <w:shd w:fill="F2F4F8"/>
          </w:tcPr>
          <w:p>
            <w:pPr>
              <w:spacing w:before="60" w:after="60"/>
            </w:pPr>
            <w:r>
              <w:rPr>
                <w:sz w:val="19"/>
              </w:rPr>
              <w:t>$1920 \times 1080$ Pixels (Full HD)</w:t>
            </w:r>
          </w:p>
        </w:tc>
      </w:tr>
    </w:tbl>
    <w:p/>
    <w:p>
      <w:pPr>
        <w:keepNext/>
        <w:spacing w:before="200" w:after="80"/>
      </w:pPr>
      <w:r>
        <w:rPr>
          <w:rFonts w:ascii="Arial" w:hAnsi="Arial"/>
          <w:b/>
          <w:color w:val="333333"/>
          <w:sz w:val="25"/>
        </w:rPr>
        <w:t>1.3.2 Software Specifications</w:t>
      </w:r>
    </w:p>
    <w:p>
      <w:pPr>
        <w:spacing w:before="60" w:after="120" w:line="276" w:lineRule="auto"/>
      </w:pPr>
      <w:r/>
      <w:r>
        <w:rPr>
          <w:i/>
          <w:color w:val="555555"/>
        </w:rPr>
        <w:t>Table 1.2: System Software &amp; Dependency Specifications.</w:t>
      </w:r>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shd w:fill="1F4E78"/>
          </w:tcPr>
          <w:p>
            <w:pPr>
              <w:spacing w:before="60" w:after="60"/>
            </w:pPr>
            <w:r>
              <w:rPr>
                <w:b/>
                <w:color w:val="FFFFFF"/>
                <w:sz w:val="20"/>
              </w:rPr>
              <w:t>Software / Layer</w:t>
            </w:r>
          </w:p>
        </w:tc>
        <w:tc>
          <w:tcPr>
            <w:tcW w:type="dxa" w:w="3120"/>
            <w:tcMar>
              <w:top w:w="120" w:type="dxa"/>
              <w:bottom w:w="120" w:type="dxa"/>
              <w:left w:w="150" w:type="dxa"/>
              <w:right w:w="150" w:type="dxa"/>
            </w:tcMar>
            <w:shd w:fill="1F4E78"/>
          </w:tcPr>
          <w:p>
            <w:pPr>
              <w:spacing w:before="60" w:after="60"/>
            </w:pPr>
            <w:r>
              <w:rPr>
                <w:b/>
                <w:color w:val="FFFFFF"/>
                <w:sz w:val="20"/>
              </w:rPr>
              <w:t>Technology</w:t>
            </w:r>
          </w:p>
        </w:tc>
        <w:tc>
          <w:tcPr>
            <w:tcW w:type="dxa" w:w="3120"/>
            <w:tcMar>
              <w:top w:w="120" w:type="dxa"/>
              <w:bottom w:w="120" w:type="dxa"/>
              <w:left w:w="150" w:type="dxa"/>
              <w:right w:w="150" w:type="dxa"/>
            </w:tcMar>
            <w:shd w:fill="1F4E78"/>
          </w:tcPr>
          <w:p>
            <w:pPr>
              <w:spacing w:before="60" w:after="60"/>
            </w:pPr>
            <w:r>
              <w:rPr>
                <w:b/>
                <w:color w:val="FFFFFF"/>
                <w:sz w:val="20"/>
              </w:rPr>
              <w:t>Primary Function</w:t>
            </w:r>
          </w:p>
        </w:tc>
      </w:tr>
      <w:tr>
        <w:tc>
          <w:tcPr>
            <w:tcW w:type="dxa" w:w="3120"/>
            <w:tcMar>
              <w:top w:w="120" w:type="dxa"/>
              <w:bottom w:w="120" w:type="dxa"/>
              <w:left w:w="150" w:type="dxa"/>
              <w:right w:w="150" w:type="dxa"/>
            </w:tcMar>
            <w:shd w:fill="F2F4F8"/>
          </w:tcPr>
          <w:p>
            <w:pPr>
              <w:spacing w:before="60" w:after="60"/>
            </w:pPr>
            <w:r>
              <w:rPr>
                <w:sz w:val="19"/>
              </w:rPr>
              <w:t>**Operating System**</w:t>
            </w:r>
          </w:p>
        </w:tc>
        <w:tc>
          <w:tcPr>
            <w:tcW w:type="dxa" w:w="3120"/>
            <w:tcMar>
              <w:top w:w="120" w:type="dxa"/>
              <w:bottom w:w="120" w:type="dxa"/>
              <w:left w:w="150" w:type="dxa"/>
              <w:right w:w="150" w:type="dxa"/>
            </w:tcMar>
            <w:shd w:fill="F2F4F8"/>
          </w:tcPr>
          <w:p>
            <w:pPr>
              <w:spacing w:before="60" w:after="60"/>
            </w:pPr>
            <w:r>
              <w:rPr>
                <w:sz w:val="19"/>
              </w:rPr>
              <w:t>Windows 10/11, Linux (Ubuntu 22.04), macOS</w:t>
            </w:r>
          </w:p>
        </w:tc>
        <w:tc>
          <w:tcPr>
            <w:tcW w:type="dxa" w:w="3120"/>
            <w:tcMar>
              <w:top w:w="120" w:type="dxa"/>
              <w:bottom w:w="120" w:type="dxa"/>
              <w:left w:w="150" w:type="dxa"/>
              <w:right w:w="150" w:type="dxa"/>
            </w:tcMar>
            <w:shd w:fill="F2F4F8"/>
          </w:tcPr>
          <w:p>
            <w:pPr>
              <w:spacing w:before="60" w:after="60"/>
            </w:pPr>
            <w:r>
              <w:rPr>
                <w:sz w:val="19"/>
              </w:rPr>
              <w:t>Execution host environment</w:t>
            </w:r>
          </w:p>
        </w:tc>
      </w:tr>
      <w:tr>
        <w:tc>
          <w:tcPr>
            <w:tcW w:type="dxa" w:w="3120"/>
            <w:tcMar>
              <w:top w:w="120" w:type="dxa"/>
              <w:bottom w:w="120" w:type="dxa"/>
              <w:left w:w="150" w:type="dxa"/>
              <w:right w:w="150" w:type="dxa"/>
            </w:tcMar>
            <w:shd w:fill="FFFFFF"/>
          </w:tcPr>
          <w:p>
            <w:pPr>
              <w:spacing w:before="60" w:after="60"/>
            </w:pPr>
            <w:r>
              <w:rPr>
                <w:sz w:val="19"/>
              </w:rPr>
              <w:t>**Runtime Language**</w:t>
            </w:r>
          </w:p>
        </w:tc>
        <w:tc>
          <w:tcPr>
            <w:tcW w:type="dxa" w:w="3120"/>
            <w:tcMar>
              <w:top w:w="120" w:type="dxa"/>
              <w:bottom w:w="120" w:type="dxa"/>
              <w:left w:w="150" w:type="dxa"/>
              <w:right w:w="150" w:type="dxa"/>
            </w:tcMar>
            <w:shd w:fill="FFFFFF"/>
          </w:tcPr>
          <w:p>
            <w:pPr>
              <w:spacing w:before="60" w:after="60"/>
            </w:pPr>
            <w:r>
              <w:rPr>
                <w:sz w:val="19"/>
              </w:rPr>
              <w:t>Python 3.12</w:t>
            </w:r>
          </w:p>
        </w:tc>
        <w:tc>
          <w:tcPr>
            <w:tcW w:type="dxa" w:w="3120"/>
            <w:tcMar>
              <w:top w:w="120" w:type="dxa"/>
              <w:bottom w:w="120" w:type="dxa"/>
              <w:left w:w="150" w:type="dxa"/>
              <w:right w:w="150" w:type="dxa"/>
            </w:tcMar>
            <w:shd w:fill="FFFFFF"/>
          </w:tcPr>
          <w:p>
            <w:pPr>
              <w:spacing w:before="60" w:after="60"/>
            </w:pPr>
            <w:r>
              <w:rPr>
                <w:sz w:val="19"/>
              </w:rPr>
              <w:t>Core server execution language</w:t>
            </w:r>
          </w:p>
        </w:tc>
      </w:tr>
      <w:tr>
        <w:tc>
          <w:tcPr>
            <w:tcW w:type="dxa" w:w="3120"/>
            <w:tcMar>
              <w:top w:w="120" w:type="dxa"/>
              <w:bottom w:w="120" w:type="dxa"/>
              <w:left w:w="150" w:type="dxa"/>
              <w:right w:w="150" w:type="dxa"/>
            </w:tcMar>
            <w:shd w:fill="F2F4F8"/>
          </w:tcPr>
          <w:p>
            <w:pPr>
              <w:spacing w:before="60" w:after="60"/>
            </w:pPr>
            <w:r>
              <w:rPr>
                <w:sz w:val="19"/>
              </w:rPr>
              <w:t>**Web Server Framework**</w:t>
            </w:r>
          </w:p>
        </w:tc>
        <w:tc>
          <w:tcPr>
            <w:tcW w:type="dxa" w:w="3120"/>
            <w:tcMar>
              <w:top w:w="120" w:type="dxa"/>
              <w:bottom w:w="120" w:type="dxa"/>
              <w:left w:w="150" w:type="dxa"/>
              <w:right w:w="150" w:type="dxa"/>
            </w:tcMar>
            <w:shd w:fill="F2F4F8"/>
          </w:tcPr>
          <w:p>
            <w:pPr>
              <w:spacing w:before="60" w:after="60"/>
            </w:pPr>
            <w:r>
              <w:rPr>
                <w:sz w:val="19"/>
              </w:rPr>
              <w:t>Flask 3.0.x</w:t>
            </w:r>
          </w:p>
        </w:tc>
        <w:tc>
          <w:tcPr>
            <w:tcW w:type="dxa" w:w="3120"/>
            <w:tcMar>
              <w:top w:w="120" w:type="dxa"/>
              <w:bottom w:w="120" w:type="dxa"/>
              <w:left w:w="150" w:type="dxa"/>
              <w:right w:w="150" w:type="dxa"/>
            </w:tcMar>
            <w:shd w:fill="F2F4F8"/>
          </w:tcPr>
          <w:p>
            <w:pPr>
              <w:spacing w:before="60" w:after="60"/>
            </w:pPr>
            <w:r>
              <w:rPr>
                <w:sz w:val="19"/>
              </w:rPr>
              <w:t>REST API server &amp; session manager</w:t>
            </w:r>
          </w:p>
        </w:tc>
      </w:tr>
      <w:tr>
        <w:tc>
          <w:tcPr>
            <w:tcW w:type="dxa" w:w="3120"/>
            <w:tcMar>
              <w:top w:w="120" w:type="dxa"/>
              <w:bottom w:w="120" w:type="dxa"/>
              <w:left w:w="150" w:type="dxa"/>
              <w:right w:w="150" w:type="dxa"/>
            </w:tcMar>
            <w:shd w:fill="FFFFFF"/>
          </w:tcPr>
          <w:p>
            <w:pPr>
              <w:spacing w:before="60" w:after="60"/>
            </w:pPr>
            <w:r>
              <w:rPr>
                <w:sz w:val="19"/>
              </w:rPr>
              <w:t>**Deep Learning Backend**</w:t>
            </w:r>
          </w:p>
        </w:tc>
        <w:tc>
          <w:tcPr>
            <w:tcW w:type="dxa" w:w="3120"/>
            <w:tcMar>
              <w:top w:w="120" w:type="dxa"/>
              <w:bottom w:w="120" w:type="dxa"/>
              <w:left w:w="150" w:type="dxa"/>
              <w:right w:w="150" w:type="dxa"/>
            </w:tcMar>
            <w:shd w:fill="FFFFFF"/>
          </w:tcPr>
          <w:p>
            <w:pPr>
              <w:spacing w:before="60" w:after="60"/>
            </w:pPr>
            <w:r>
              <w:rPr>
                <w:sz w:val="19"/>
              </w:rPr>
              <w:t>PyTorch 2.x</w:t>
            </w:r>
          </w:p>
        </w:tc>
        <w:tc>
          <w:tcPr>
            <w:tcW w:type="dxa" w:w="3120"/>
            <w:tcMar>
              <w:top w:w="120" w:type="dxa"/>
              <w:bottom w:w="120" w:type="dxa"/>
              <w:left w:w="150" w:type="dxa"/>
              <w:right w:w="150" w:type="dxa"/>
            </w:tcMar>
            <w:shd w:fill="FFFFFF"/>
          </w:tcPr>
          <w:p>
            <w:pPr>
              <w:spacing w:before="60" w:after="60"/>
            </w:pPr>
            <w:r>
              <w:rPr>
                <w:sz w:val="19"/>
              </w:rPr>
              <w:t>CUDA-accelerated model execution</w:t>
            </w:r>
          </w:p>
        </w:tc>
      </w:tr>
      <w:tr>
        <w:tc>
          <w:tcPr>
            <w:tcW w:type="dxa" w:w="3120"/>
            <w:tcMar>
              <w:top w:w="120" w:type="dxa"/>
              <w:bottom w:w="120" w:type="dxa"/>
              <w:left w:w="150" w:type="dxa"/>
              <w:right w:w="150" w:type="dxa"/>
            </w:tcMar>
            <w:shd w:fill="F2F4F8"/>
          </w:tcPr>
          <w:p>
            <w:pPr>
              <w:spacing w:before="60" w:after="60"/>
            </w:pPr>
            <w:r>
              <w:rPr>
                <w:sz w:val="19"/>
              </w:rPr>
              <w:t>**Transformers Framework**</w:t>
            </w:r>
          </w:p>
        </w:tc>
        <w:tc>
          <w:tcPr>
            <w:tcW w:type="dxa" w:w="3120"/>
            <w:tcMar>
              <w:top w:w="120" w:type="dxa"/>
              <w:bottom w:w="120" w:type="dxa"/>
              <w:left w:w="150" w:type="dxa"/>
              <w:right w:w="150" w:type="dxa"/>
            </w:tcMar>
            <w:shd w:fill="F2F4F8"/>
          </w:tcPr>
          <w:p>
            <w:pPr>
              <w:spacing w:before="60" w:after="60"/>
            </w:pPr>
            <w:r>
              <w:rPr>
                <w:sz w:val="19"/>
              </w:rPr>
              <w:t>Hugging Face Transformers 4.x</w:t>
            </w:r>
          </w:p>
        </w:tc>
        <w:tc>
          <w:tcPr>
            <w:tcW w:type="dxa" w:w="3120"/>
            <w:tcMar>
              <w:top w:w="120" w:type="dxa"/>
              <w:bottom w:w="120" w:type="dxa"/>
              <w:left w:w="150" w:type="dxa"/>
              <w:right w:w="150" w:type="dxa"/>
            </w:tcMar>
            <w:shd w:fill="F2F4F8"/>
          </w:tcPr>
          <w:p>
            <w:pPr>
              <w:spacing w:before="60" w:after="60"/>
            </w:pPr>
            <w:r>
              <w:rPr>
                <w:sz w:val="19"/>
              </w:rPr>
              <w:t>Tokenizer and model weight loader</w:t>
            </w:r>
          </w:p>
        </w:tc>
      </w:tr>
      <w:tr>
        <w:tc>
          <w:tcPr>
            <w:tcW w:type="dxa" w:w="3120"/>
            <w:tcMar>
              <w:top w:w="120" w:type="dxa"/>
              <w:bottom w:w="120" w:type="dxa"/>
              <w:left w:w="150" w:type="dxa"/>
              <w:right w:w="150" w:type="dxa"/>
            </w:tcMar>
            <w:shd w:fill="FFFFFF"/>
          </w:tcPr>
          <w:p>
            <w:pPr>
              <w:spacing w:before="60" w:after="60"/>
            </w:pPr>
            <w:r>
              <w:rPr>
                <w:sz w:val="19"/>
              </w:rPr>
              <w:t>**Sequence Generator**</w:t>
            </w:r>
          </w:p>
        </w:tc>
        <w:tc>
          <w:tcPr>
            <w:tcW w:type="dxa" w:w="3120"/>
            <w:tcMar>
              <w:top w:w="120" w:type="dxa"/>
              <w:bottom w:w="120" w:type="dxa"/>
              <w:left w:w="150" w:type="dxa"/>
              <w:right w:w="150" w:type="dxa"/>
            </w:tcMar>
            <w:shd w:fill="FFFFFF"/>
          </w:tcPr>
          <w:p>
            <w:pPr>
              <w:spacing w:before="60" w:after="60"/>
            </w:pPr>
            <w:r>
              <w:rPr>
                <w:sz w:val="19"/>
              </w:rPr>
              <w:t>Fine-Tuned FLAN-T5 (`flan_t5_model`)</w:t>
            </w:r>
          </w:p>
        </w:tc>
        <w:tc>
          <w:tcPr>
            <w:tcW w:type="dxa" w:w="3120"/>
            <w:tcMar>
              <w:top w:w="120" w:type="dxa"/>
              <w:bottom w:w="120" w:type="dxa"/>
              <w:left w:w="150" w:type="dxa"/>
              <w:right w:w="150" w:type="dxa"/>
            </w:tcMar>
            <w:shd w:fill="FFFFFF"/>
          </w:tcPr>
          <w:p>
            <w:pPr>
              <w:spacing w:before="60" w:after="60"/>
            </w:pPr>
            <w:r>
              <w:rPr>
                <w:sz w:val="19"/>
              </w:rPr>
              <w:t>Question variant seq2seq generator</w:t>
            </w:r>
          </w:p>
        </w:tc>
      </w:tr>
      <w:tr>
        <w:tc>
          <w:tcPr>
            <w:tcW w:type="dxa" w:w="3120"/>
            <w:tcMar>
              <w:top w:w="120" w:type="dxa"/>
              <w:bottom w:w="120" w:type="dxa"/>
              <w:left w:w="150" w:type="dxa"/>
              <w:right w:w="150" w:type="dxa"/>
            </w:tcMar>
            <w:shd w:fill="F2F4F8"/>
          </w:tcPr>
          <w:p>
            <w:pPr>
              <w:spacing w:before="60" w:after="60"/>
            </w:pPr>
            <w:r>
              <w:rPr>
                <w:sz w:val="19"/>
              </w:rPr>
              <w:t>**Cognitive Classifier**</w:t>
            </w:r>
          </w:p>
        </w:tc>
        <w:tc>
          <w:tcPr>
            <w:tcW w:type="dxa" w:w="3120"/>
            <w:tcMar>
              <w:top w:w="120" w:type="dxa"/>
              <w:bottom w:w="120" w:type="dxa"/>
              <w:left w:w="150" w:type="dxa"/>
              <w:right w:w="150" w:type="dxa"/>
            </w:tcMar>
            <w:shd w:fill="F2F4F8"/>
          </w:tcPr>
          <w:p>
            <w:pPr>
              <w:spacing w:before="60" w:after="60"/>
            </w:pPr>
            <w:r>
              <w:rPr>
                <w:sz w:val="19"/>
              </w:rPr>
              <w:t>Fine-Tuned DeBERTa-v3 (`deberta_bloom_model`)</w:t>
            </w:r>
          </w:p>
        </w:tc>
        <w:tc>
          <w:tcPr>
            <w:tcW w:type="dxa" w:w="3120"/>
            <w:tcMar>
              <w:top w:w="120" w:type="dxa"/>
              <w:bottom w:w="120" w:type="dxa"/>
              <w:left w:w="150" w:type="dxa"/>
              <w:right w:w="150" w:type="dxa"/>
            </w:tcMar>
            <w:shd w:fill="F2F4F8"/>
          </w:tcPr>
          <w:p>
            <w:pPr>
              <w:spacing w:before="60" w:after="60"/>
            </w:pPr>
            <w:r>
              <w:rPr>
                <w:sz w:val="19"/>
              </w:rPr>
              <w:t>6-class Bloom sequence classifier</w:t>
            </w:r>
          </w:p>
        </w:tc>
      </w:tr>
      <w:tr>
        <w:tc>
          <w:tcPr>
            <w:tcW w:type="dxa" w:w="3120"/>
            <w:tcMar>
              <w:top w:w="120" w:type="dxa"/>
              <w:bottom w:w="120" w:type="dxa"/>
              <w:left w:w="150" w:type="dxa"/>
              <w:right w:w="150" w:type="dxa"/>
            </w:tcMar>
            <w:shd w:fill="FFFFFF"/>
          </w:tcPr>
          <w:p>
            <w:pPr>
              <w:spacing w:before="60" w:after="60"/>
            </w:pPr>
            <w:r>
              <w:rPr>
                <w:sz w:val="19"/>
              </w:rPr>
              <w:t>**Vector Embeddings**</w:t>
            </w:r>
          </w:p>
        </w:tc>
        <w:tc>
          <w:tcPr>
            <w:tcW w:type="dxa" w:w="3120"/>
            <w:tcMar>
              <w:top w:w="120" w:type="dxa"/>
              <w:bottom w:w="120" w:type="dxa"/>
              <w:left w:w="150" w:type="dxa"/>
              <w:right w:w="150" w:type="dxa"/>
            </w:tcMar>
            <w:shd w:fill="FFFFFF"/>
          </w:tcPr>
          <w:p>
            <w:pPr>
              <w:spacing w:before="60" w:after="60"/>
            </w:pPr>
            <w:r>
              <w:rPr>
                <w:sz w:val="19"/>
              </w:rPr>
              <w:t>SentenceTransformers (`all-MiniLM-L6-v2`)</w:t>
            </w:r>
          </w:p>
        </w:tc>
        <w:tc>
          <w:tcPr>
            <w:tcW w:type="dxa" w:w="3120"/>
            <w:tcMar>
              <w:top w:w="120" w:type="dxa"/>
              <w:bottom w:w="120" w:type="dxa"/>
              <w:left w:w="150" w:type="dxa"/>
              <w:right w:w="150" w:type="dxa"/>
            </w:tcMar>
            <w:shd w:fill="FFFFFF"/>
          </w:tcPr>
          <w:p>
            <w:pPr>
              <w:spacing w:before="60" w:after="60"/>
            </w:pPr>
            <w:r>
              <w:rPr>
                <w:sz w:val="19"/>
              </w:rPr>
              <w:t>Semantic similarity &amp; duplicate vector encoding</w:t>
            </w:r>
          </w:p>
        </w:tc>
      </w:tr>
      <w:tr>
        <w:tc>
          <w:tcPr>
            <w:tcW w:type="dxa" w:w="3120"/>
            <w:tcMar>
              <w:top w:w="120" w:type="dxa"/>
              <w:bottom w:w="120" w:type="dxa"/>
              <w:left w:w="150" w:type="dxa"/>
              <w:right w:w="150" w:type="dxa"/>
            </w:tcMar>
            <w:shd w:fill="F2F4F8"/>
          </w:tcPr>
          <w:p>
            <w:pPr>
              <w:spacing w:before="60" w:after="60"/>
            </w:pPr>
            <w:r>
              <w:rPr>
                <w:sz w:val="19"/>
              </w:rPr>
              <w:t>**Linguistic Parser**</w:t>
            </w:r>
          </w:p>
        </w:tc>
        <w:tc>
          <w:tcPr>
            <w:tcW w:type="dxa" w:w="3120"/>
            <w:tcMar>
              <w:top w:w="120" w:type="dxa"/>
              <w:bottom w:w="120" w:type="dxa"/>
              <w:left w:w="150" w:type="dxa"/>
              <w:right w:w="150" w:type="dxa"/>
            </w:tcMar>
            <w:shd w:fill="F2F4F8"/>
          </w:tcPr>
          <w:p>
            <w:pPr>
              <w:spacing w:before="60" w:after="60"/>
            </w:pPr>
            <w:r>
              <w:rPr>
                <w:sz w:val="19"/>
              </w:rPr>
              <w:t>spaCy 3.x (`en_core_web_sm`)</w:t>
            </w:r>
          </w:p>
        </w:tc>
        <w:tc>
          <w:tcPr>
            <w:tcW w:type="dxa" w:w="3120"/>
            <w:tcMar>
              <w:top w:w="120" w:type="dxa"/>
              <w:bottom w:w="120" w:type="dxa"/>
              <w:left w:w="150" w:type="dxa"/>
              <w:right w:w="150" w:type="dxa"/>
            </w:tcMar>
            <w:shd w:fill="F2F4F8"/>
          </w:tcPr>
          <w:p>
            <w:pPr>
              <w:spacing w:before="60" w:after="60"/>
            </w:pPr>
            <w:r>
              <w:rPr>
                <w:sz w:val="19"/>
              </w:rPr>
              <w:t>POS tagging, noun chunking, NER extraction</w:t>
            </w:r>
          </w:p>
        </w:tc>
      </w:tr>
      <w:tr>
        <w:tc>
          <w:tcPr>
            <w:tcW w:type="dxa" w:w="3120"/>
            <w:tcMar>
              <w:top w:w="120" w:type="dxa"/>
              <w:bottom w:w="120" w:type="dxa"/>
              <w:left w:w="150" w:type="dxa"/>
              <w:right w:w="150" w:type="dxa"/>
            </w:tcMar>
            <w:shd w:fill="FFFFFF"/>
          </w:tcPr>
          <w:p>
            <w:pPr>
              <w:spacing w:before="60" w:after="60"/>
            </w:pPr>
            <w:r>
              <w:rPr>
                <w:sz w:val="19"/>
              </w:rPr>
              <w:t>**Fuzzy Matching**</w:t>
            </w:r>
          </w:p>
        </w:tc>
        <w:tc>
          <w:tcPr>
            <w:tcW w:type="dxa" w:w="3120"/>
            <w:tcMar>
              <w:top w:w="120" w:type="dxa"/>
              <w:bottom w:w="120" w:type="dxa"/>
              <w:left w:w="150" w:type="dxa"/>
              <w:right w:w="150" w:type="dxa"/>
            </w:tcMar>
            <w:shd w:fill="FFFFFF"/>
          </w:tcPr>
          <w:p>
            <w:pPr>
              <w:spacing w:before="60" w:after="60"/>
            </w:pPr>
            <w:r>
              <w:rPr>
                <w:sz w:val="19"/>
              </w:rPr>
              <w:t>RapidFuzz</w:t>
            </w:r>
          </w:p>
        </w:tc>
        <w:tc>
          <w:tcPr>
            <w:tcW w:type="dxa" w:w="3120"/>
            <w:tcMar>
              <w:top w:w="120" w:type="dxa"/>
              <w:bottom w:w="120" w:type="dxa"/>
              <w:left w:w="150" w:type="dxa"/>
              <w:right w:w="150" w:type="dxa"/>
            </w:tcMar>
            <w:shd w:fill="FFFFFF"/>
          </w:tcPr>
          <w:p>
            <w:pPr>
              <w:spacing w:before="60" w:after="60"/>
            </w:pPr>
            <w:r>
              <w:rPr>
                <w:sz w:val="19"/>
              </w:rPr>
              <w:t>Lexical duplicate detection</w:t>
            </w:r>
          </w:p>
        </w:tc>
      </w:tr>
      <w:tr>
        <w:tc>
          <w:tcPr>
            <w:tcW w:type="dxa" w:w="3120"/>
            <w:tcMar>
              <w:top w:w="120" w:type="dxa"/>
              <w:bottom w:w="120" w:type="dxa"/>
              <w:left w:w="150" w:type="dxa"/>
              <w:right w:w="150" w:type="dxa"/>
            </w:tcMar>
            <w:shd w:fill="F2F4F8"/>
          </w:tcPr>
          <w:p>
            <w:pPr>
              <w:spacing w:before="60" w:after="60"/>
            </w:pPr>
            <w:r>
              <w:rPr>
                <w:sz w:val="19"/>
              </w:rPr>
              <w:t>**Document Processing**</w:t>
            </w:r>
          </w:p>
        </w:tc>
        <w:tc>
          <w:tcPr>
            <w:tcW w:type="dxa" w:w="3120"/>
            <w:tcMar>
              <w:top w:w="120" w:type="dxa"/>
              <w:bottom w:w="120" w:type="dxa"/>
              <w:left w:w="150" w:type="dxa"/>
              <w:right w:w="150" w:type="dxa"/>
            </w:tcMar>
            <w:shd w:fill="F2F4F8"/>
          </w:tcPr>
          <w:p>
            <w:pPr>
              <w:spacing w:before="60" w:after="60"/>
            </w:pPr>
            <w:r>
              <w:rPr>
                <w:sz w:val="19"/>
              </w:rPr>
              <w:t>Pandas, OpenPyXL, PyPDF2, python-docx, python-pptx, FPDF2</w:t>
            </w:r>
          </w:p>
        </w:tc>
        <w:tc>
          <w:tcPr>
            <w:tcW w:type="dxa" w:w="3120"/>
            <w:tcMar>
              <w:top w:w="120" w:type="dxa"/>
              <w:bottom w:w="120" w:type="dxa"/>
              <w:left w:w="150" w:type="dxa"/>
              <w:right w:w="150" w:type="dxa"/>
            </w:tcMar>
            <w:shd w:fill="F2F4F8"/>
          </w:tcPr>
          <w:p>
            <w:pPr>
              <w:spacing w:before="60" w:after="60"/>
            </w:pPr>
            <w:r>
              <w:rPr>
                <w:sz w:val="19"/>
              </w:rPr>
              <w:t>Multi-format ingestion and report generation</w:t>
            </w:r>
          </w:p>
        </w:tc>
      </w:tr>
      <w:tr>
        <w:tc>
          <w:tcPr>
            <w:tcW w:type="dxa" w:w="3120"/>
            <w:tcMar>
              <w:top w:w="120" w:type="dxa"/>
              <w:bottom w:w="120" w:type="dxa"/>
              <w:left w:w="150" w:type="dxa"/>
              <w:right w:w="150" w:type="dxa"/>
            </w:tcMar>
            <w:shd w:fill="FFFFFF"/>
          </w:tcPr>
          <w:p>
            <w:pPr>
              <w:spacing w:before="60" w:after="60"/>
            </w:pPr>
            <w:r>
              <w:rPr>
                <w:sz w:val="19"/>
              </w:rPr>
              <w:t>**Frontend Framework**</w:t>
            </w:r>
          </w:p>
        </w:tc>
        <w:tc>
          <w:tcPr>
            <w:tcW w:type="dxa" w:w="3120"/>
            <w:tcMar>
              <w:top w:w="120" w:type="dxa"/>
              <w:bottom w:w="120" w:type="dxa"/>
              <w:left w:w="150" w:type="dxa"/>
              <w:right w:w="150" w:type="dxa"/>
            </w:tcMar>
            <w:shd w:fill="FFFFFF"/>
          </w:tcPr>
          <w:p>
            <w:pPr>
              <w:spacing w:before="60" w:after="60"/>
            </w:pPr>
            <w:r>
              <w:rPr>
                <w:sz w:val="19"/>
              </w:rPr>
              <w:t>HTML5, CSS3, Tailwind CSS, JavaScript</w:t>
            </w:r>
          </w:p>
        </w:tc>
        <w:tc>
          <w:tcPr>
            <w:tcW w:type="dxa" w:w="3120"/>
            <w:tcMar>
              <w:top w:w="120" w:type="dxa"/>
              <w:bottom w:w="120" w:type="dxa"/>
              <w:left w:w="150" w:type="dxa"/>
              <w:right w:w="150" w:type="dxa"/>
            </w:tcMar>
            <w:shd w:fill="FFFFFF"/>
          </w:tcPr>
          <w:p>
            <w:pPr>
              <w:spacing w:before="60" w:after="60"/>
            </w:pPr>
            <w:r>
              <w:rPr>
                <w:sz w:val="19"/>
              </w:rPr>
              <w:t>Interactive Single-Page Application (SPA)</w:t>
            </w:r>
          </w:p>
        </w:tc>
      </w:tr>
      <w:tr>
        <w:tc>
          <w:tcPr>
            <w:tcW w:type="dxa" w:w="3120"/>
            <w:tcMar>
              <w:top w:w="120" w:type="dxa"/>
              <w:bottom w:w="120" w:type="dxa"/>
              <w:left w:w="150" w:type="dxa"/>
              <w:right w:w="150" w:type="dxa"/>
            </w:tcMar>
            <w:shd w:fill="F2F4F8"/>
          </w:tcPr>
          <w:p>
            <w:pPr>
              <w:spacing w:before="60" w:after="60"/>
            </w:pPr>
            <w:r>
              <w:rPr>
                <w:sz w:val="19"/>
              </w:rPr>
              <w:t>**Analytics Engine**</w:t>
            </w:r>
          </w:p>
        </w:tc>
        <w:tc>
          <w:tcPr>
            <w:tcW w:type="dxa" w:w="3120"/>
            <w:tcMar>
              <w:top w:w="120" w:type="dxa"/>
              <w:bottom w:w="120" w:type="dxa"/>
              <w:left w:w="150" w:type="dxa"/>
              <w:right w:w="150" w:type="dxa"/>
            </w:tcMar>
            <w:shd w:fill="F2F4F8"/>
          </w:tcPr>
          <w:p>
            <w:pPr>
              <w:spacing w:before="60" w:after="60"/>
            </w:pPr>
            <w:r>
              <w:rPr>
                <w:sz w:val="19"/>
              </w:rPr>
              <w:t>Chart.js 4.x</w:t>
            </w:r>
          </w:p>
        </w:tc>
        <w:tc>
          <w:tcPr>
            <w:tcW w:type="dxa" w:w="3120"/>
            <w:tcMar>
              <w:top w:w="120" w:type="dxa"/>
              <w:bottom w:w="120" w:type="dxa"/>
              <w:left w:w="150" w:type="dxa"/>
              <w:right w:w="150" w:type="dxa"/>
            </w:tcMar>
            <w:shd w:fill="F2F4F8"/>
          </w:tcPr>
          <w:p>
            <w:pPr>
              <w:spacing w:before="60" w:after="60"/>
            </w:pPr>
            <w:r>
              <w:rPr>
                <w:sz w:val="19"/>
              </w:rPr>
              <w:t>Real-time graphical dashboard rendering</w:t>
            </w:r>
          </w:p>
        </w:tc>
      </w:tr>
      <w:tr>
        <w:tc>
          <w:tcPr>
            <w:tcW w:type="dxa" w:w="3120"/>
            <w:tcMar>
              <w:top w:w="120" w:type="dxa"/>
              <w:bottom w:w="120" w:type="dxa"/>
              <w:left w:w="150" w:type="dxa"/>
              <w:right w:w="150" w:type="dxa"/>
            </w:tcMar>
            <w:shd w:fill="FFFFFF"/>
          </w:tcPr>
          <w:p>
            <w:pPr>
              <w:spacing w:before="60" w:after="60"/>
            </w:pPr>
            <w:r>
              <w:rPr>
                <w:sz w:val="19"/>
              </w:rPr>
              <w:t>**Automated E2E Testing**</w:t>
            </w:r>
          </w:p>
        </w:tc>
        <w:tc>
          <w:tcPr>
            <w:tcW w:type="dxa" w:w="3120"/>
            <w:tcMar>
              <w:top w:w="120" w:type="dxa"/>
              <w:bottom w:w="120" w:type="dxa"/>
              <w:left w:w="150" w:type="dxa"/>
              <w:right w:w="150" w:type="dxa"/>
            </w:tcMar>
            <w:shd w:fill="FFFFFF"/>
          </w:tcPr>
          <w:p>
            <w:pPr>
              <w:spacing w:before="60" w:after="60"/>
            </w:pPr>
            <w:r>
              <w:rPr>
                <w:sz w:val="19"/>
              </w:rPr>
              <w:t>Playwright (Node.js)</w:t>
            </w:r>
          </w:p>
        </w:tc>
        <w:tc>
          <w:tcPr>
            <w:tcW w:type="dxa" w:w="3120"/>
            <w:tcMar>
              <w:top w:w="120" w:type="dxa"/>
              <w:bottom w:w="120" w:type="dxa"/>
              <w:left w:w="150" w:type="dxa"/>
              <w:right w:w="150" w:type="dxa"/>
            </w:tcMar>
            <w:shd w:fill="FFFFFF"/>
          </w:tcPr>
          <w:p>
            <w:pPr>
              <w:spacing w:before="60" w:after="60"/>
            </w:pPr>
            <w:r>
              <w:rPr>
                <w:sz w:val="19"/>
              </w:rPr>
              <w:t>Full-stack regression testing suite</w:t>
            </w:r>
          </w:p>
        </w:tc>
      </w:tr>
    </w:tbl>
    <w:p/>
    <w:p>
      <w:pPr>
        <w:keepNext/>
        <w:spacing w:before="360" w:after="240"/>
      </w:pPr>
      <w:r>
        <w:rPr>
          <w:rFonts w:ascii="Arial" w:hAnsi="Arial"/>
          <w:b/>
          <w:color w:val="1F4E78"/>
          <w:sz w:val="40"/>
        </w:rPr>
        <w:t>CHAPTER 2: LITERATURE SURVEY</w:t>
      </w:r>
    </w:p>
    <w:p>
      <w:pPr>
        <w:spacing w:before="60" w:after="120" w:line="276" w:lineRule="auto"/>
      </w:pPr>
      <w:r>
        <w:t>Automated Question Generation (AQG) and cognitive taxonomy classification have evolved across three primary technical paradigms: rule-based syntactic transformations, statistical machine learning models, and deep transformer-based language architectures.</w:t>
      </w:r>
    </w:p>
    <w:p>
      <w:pPr>
        <w:spacing w:before="60" w:after="120" w:line="276" w:lineRule="auto"/>
      </w:pPr>
      <w:r/>
      <w:r>
        <w:rPr>
          <w:i/>
          <w:color w:val="555555"/>
        </w:rPr>
        <w:t>Table 2.1: Comparative Literature Review of Existing Question Generation &amp; Classification Approaches.</w:t>
      </w: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shd w:fill="1F4E78"/>
          </w:tcPr>
          <w:p>
            <w:pPr>
              <w:spacing w:before="60" w:after="60"/>
            </w:pPr>
            <w:r>
              <w:rPr>
                <w:b/>
                <w:color w:val="FFFFFF"/>
                <w:sz w:val="20"/>
              </w:rPr>
              <w:t>Author &amp; Year</w:t>
            </w:r>
          </w:p>
        </w:tc>
        <w:tc>
          <w:tcPr>
            <w:tcW w:type="dxa" w:w="1872"/>
            <w:tcMar>
              <w:top w:w="120" w:type="dxa"/>
              <w:bottom w:w="120" w:type="dxa"/>
              <w:left w:w="150" w:type="dxa"/>
              <w:right w:w="150" w:type="dxa"/>
            </w:tcMar>
            <w:shd w:fill="1F4E78"/>
          </w:tcPr>
          <w:p>
            <w:pPr>
              <w:spacing w:before="60" w:after="60"/>
            </w:pPr>
            <w:r>
              <w:rPr>
                <w:b/>
                <w:color w:val="FFFFFF"/>
                <w:sz w:val="20"/>
              </w:rPr>
              <w:t>Methodology / Model</w:t>
            </w:r>
          </w:p>
        </w:tc>
        <w:tc>
          <w:tcPr>
            <w:tcW w:type="dxa" w:w="1872"/>
            <w:tcMar>
              <w:top w:w="120" w:type="dxa"/>
              <w:bottom w:w="120" w:type="dxa"/>
              <w:left w:w="150" w:type="dxa"/>
              <w:right w:w="150" w:type="dxa"/>
            </w:tcMar>
            <w:shd w:fill="1F4E78"/>
          </w:tcPr>
          <w:p>
            <w:pPr>
              <w:spacing w:before="60" w:after="60"/>
            </w:pPr>
            <w:r>
              <w:rPr>
                <w:b/>
                <w:color w:val="FFFFFF"/>
                <w:sz w:val="20"/>
              </w:rPr>
              <w:t>Strengths</w:t>
            </w:r>
          </w:p>
        </w:tc>
        <w:tc>
          <w:tcPr>
            <w:tcW w:type="dxa" w:w="1872"/>
            <w:tcMar>
              <w:top w:w="120" w:type="dxa"/>
              <w:bottom w:w="120" w:type="dxa"/>
              <w:left w:w="150" w:type="dxa"/>
              <w:right w:w="150" w:type="dxa"/>
            </w:tcMar>
            <w:shd w:fill="1F4E78"/>
          </w:tcPr>
          <w:p>
            <w:pPr>
              <w:spacing w:before="60" w:after="60"/>
            </w:pPr>
            <w:r>
              <w:rPr>
                <w:b/>
                <w:color w:val="FFFFFF"/>
                <w:sz w:val="20"/>
              </w:rPr>
              <w:t>Limitations</w:t>
            </w:r>
          </w:p>
        </w:tc>
        <w:tc>
          <w:tcPr>
            <w:tcW w:type="dxa" w:w="1872"/>
            <w:tcMar>
              <w:top w:w="120" w:type="dxa"/>
              <w:bottom w:w="120" w:type="dxa"/>
              <w:left w:w="150" w:type="dxa"/>
              <w:right w:w="150" w:type="dxa"/>
            </w:tcMar>
            <w:shd w:fill="1F4E78"/>
          </w:tcPr>
          <w:p>
            <w:pPr>
              <w:spacing w:before="60" w:after="60"/>
            </w:pPr>
            <w:r>
              <w:rPr>
                <w:b/>
                <w:color w:val="FFFFFF"/>
                <w:sz w:val="20"/>
              </w:rPr>
              <w:t>Relevance to BloomEngine</w:t>
            </w:r>
          </w:p>
        </w:tc>
      </w:tr>
      <w:tr>
        <w:tc>
          <w:tcPr>
            <w:tcW w:type="dxa" w:w="1872"/>
            <w:tcMar>
              <w:top w:w="120" w:type="dxa"/>
              <w:bottom w:w="120" w:type="dxa"/>
              <w:left w:w="150" w:type="dxa"/>
              <w:right w:w="150" w:type="dxa"/>
            </w:tcMar>
            <w:shd w:fill="F2F4F8"/>
          </w:tcPr>
          <w:p>
            <w:pPr>
              <w:spacing w:before="60" w:after="60"/>
            </w:pPr>
            <w:r>
              <w:rPr>
                <w:sz w:val="19"/>
              </w:rPr>
              <w:t>**Heilman &amp; Smith (2010)**</w:t>
            </w:r>
          </w:p>
        </w:tc>
        <w:tc>
          <w:tcPr>
            <w:tcW w:type="dxa" w:w="1872"/>
            <w:tcMar>
              <w:top w:w="120" w:type="dxa"/>
              <w:bottom w:w="120" w:type="dxa"/>
              <w:left w:w="150" w:type="dxa"/>
              <w:right w:w="150" w:type="dxa"/>
            </w:tcMar>
            <w:shd w:fill="F2F4F8"/>
          </w:tcPr>
          <w:p>
            <w:pPr>
              <w:spacing w:before="60" w:after="60"/>
            </w:pPr>
            <w:r>
              <w:rPr>
                <w:sz w:val="19"/>
              </w:rPr>
              <w:t>Rule-based syntactic parsing &amp; overgenerate-and-rank framework</w:t>
            </w:r>
          </w:p>
        </w:tc>
        <w:tc>
          <w:tcPr>
            <w:tcW w:type="dxa" w:w="1872"/>
            <w:tcMar>
              <w:top w:w="120" w:type="dxa"/>
              <w:bottom w:w="120" w:type="dxa"/>
              <w:left w:w="150" w:type="dxa"/>
              <w:right w:w="150" w:type="dxa"/>
            </w:tcMar>
            <w:shd w:fill="F2F4F8"/>
          </w:tcPr>
          <w:p>
            <w:pPr>
              <w:spacing w:before="60" w:after="60"/>
            </w:pPr>
            <w:r>
              <w:rPr>
                <w:sz w:val="19"/>
              </w:rPr>
              <w:t>High syntactic control and structural predictability</w:t>
            </w:r>
          </w:p>
        </w:tc>
        <w:tc>
          <w:tcPr>
            <w:tcW w:type="dxa" w:w="1872"/>
            <w:tcMar>
              <w:top w:w="120" w:type="dxa"/>
              <w:bottom w:w="120" w:type="dxa"/>
              <w:left w:w="150" w:type="dxa"/>
              <w:right w:w="150" w:type="dxa"/>
            </w:tcMar>
            <w:shd w:fill="F2F4F8"/>
          </w:tcPr>
          <w:p>
            <w:pPr>
              <w:spacing w:before="60" w:after="60"/>
            </w:pPr>
            <w:r>
              <w:rPr>
                <w:sz w:val="19"/>
              </w:rPr>
              <w:t>Inability to elevate cognitive levels or generate creative phrasings</w:t>
            </w:r>
          </w:p>
        </w:tc>
        <w:tc>
          <w:tcPr>
            <w:tcW w:type="dxa" w:w="1872"/>
            <w:tcMar>
              <w:top w:w="120" w:type="dxa"/>
              <w:bottom w:w="120" w:type="dxa"/>
              <w:left w:w="150" w:type="dxa"/>
              <w:right w:w="150" w:type="dxa"/>
            </w:tcMar>
            <w:shd w:fill="F2F4F8"/>
          </w:tcPr>
          <w:p>
            <w:pPr>
              <w:spacing w:before="60" w:after="60"/>
            </w:pPr>
            <w:r>
              <w:rPr>
                <w:sz w:val="19"/>
              </w:rPr>
              <w:t>Highlighted the necessity of multi-candidate ranking mechanisms.</w:t>
            </w:r>
          </w:p>
        </w:tc>
      </w:tr>
      <w:tr>
        <w:tc>
          <w:tcPr>
            <w:tcW w:type="dxa" w:w="1872"/>
            <w:tcMar>
              <w:top w:w="120" w:type="dxa"/>
              <w:bottom w:w="120" w:type="dxa"/>
              <w:left w:w="150" w:type="dxa"/>
              <w:right w:w="150" w:type="dxa"/>
            </w:tcMar>
            <w:shd w:fill="FFFFFF"/>
          </w:tcPr>
          <w:p>
            <w:pPr>
              <w:spacing w:before="60" w:after="60"/>
            </w:pPr>
            <w:r>
              <w:rPr>
                <w:sz w:val="19"/>
              </w:rPr>
              <w:t>**Kurdi et al. (2020)**</w:t>
            </w:r>
          </w:p>
        </w:tc>
        <w:tc>
          <w:tcPr>
            <w:tcW w:type="dxa" w:w="1872"/>
            <w:tcMar>
              <w:top w:w="120" w:type="dxa"/>
              <w:bottom w:w="120" w:type="dxa"/>
              <w:left w:w="150" w:type="dxa"/>
              <w:right w:w="150" w:type="dxa"/>
            </w:tcMar>
            <w:shd w:fill="FFFFFF"/>
          </w:tcPr>
          <w:p>
            <w:pPr>
              <w:spacing w:before="60" w:after="60"/>
            </w:pPr>
            <w:r>
              <w:rPr>
                <w:sz w:val="19"/>
              </w:rPr>
              <w:t>Systematic review of AQG in educational contexts</w:t>
            </w:r>
          </w:p>
        </w:tc>
        <w:tc>
          <w:tcPr>
            <w:tcW w:type="dxa" w:w="1872"/>
            <w:tcMar>
              <w:top w:w="120" w:type="dxa"/>
              <w:bottom w:w="120" w:type="dxa"/>
              <w:left w:w="150" w:type="dxa"/>
              <w:right w:w="150" w:type="dxa"/>
            </w:tcMar>
            <w:shd w:fill="FFFFFF"/>
          </w:tcPr>
          <w:p>
            <w:pPr>
              <w:spacing w:before="60" w:after="60"/>
            </w:pPr>
            <w:r>
              <w:rPr>
                <w:sz w:val="19"/>
              </w:rPr>
              <w:t>Categorized AQG evaluation standards into syntax, domain relevance, and pedagogy</w:t>
            </w:r>
          </w:p>
        </w:tc>
        <w:tc>
          <w:tcPr>
            <w:tcW w:type="dxa" w:w="1872"/>
            <w:tcMar>
              <w:top w:w="120" w:type="dxa"/>
              <w:bottom w:w="120" w:type="dxa"/>
              <w:left w:w="150" w:type="dxa"/>
              <w:right w:w="150" w:type="dxa"/>
            </w:tcMar>
            <w:shd w:fill="FFFFFF"/>
          </w:tcPr>
          <w:p>
            <w:pPr>
              <w:spacing w:before="60" w:after="60"/>
            </w:pPr>
            <w:r>
              <w:rPr>
                <w:sz w:val="19"/>
              </w:rPr>
              <w:t>Found severe lack of cognitive difficulty control in existing systems</w:t>
            </w:r>
          </w:p>
        </w:tc>
        <w:tc>
          <w:tcPr>
            <w:tcW w:type="dxa" w:w="1872"/>
            <w:tcMar>
              <w:top w:w="120" w:type="dxa"/>
              <w:bottom w:w="120" w:type="dxa"/>
              <w:left w:w="150" w:type="dxa"/>
              <w:right w:w="150" w:type="dxa"/>
            </w:tcMar>
            <w:shd w:fill="FFFFFF"/>
          </w:tcPr>
          <w:p>
            <w:pPr>
              <w:spacing w:before="60" w:after="60"/>
            </w:pPr>
            <w:r>
              <w:rPr>
                <w:sz w:val="19"/>
              </w:rPr>
              <w:t>Established requirement for difficulty-aware transformation.</w:t>
            </w:r>
          </w:p>
        </w:tc>
      </w:tr>
      <w:tr>
        <w:tc>
          <w:tcPr>
            <w:tcW w:type="dxa" w:w="1872"/>
            <w:tcMar>
              <w:top w:w="120" w:type="dxa"/>
              <w:bottom w:w="120" w:type="dxa"/>
              <w:left w:w="150" w:type="dxa"/>
              <w:right w:w="150" w:type="dxa"/>
            </w:tcMar>
            <w:shd w:fill="F2F4F8"/>
          </w:tcPr>
          <w:p>
            <w:pPr>
              <w:spacing w:before="60" w:after="60"/>
            </w:pPr>
            <w:r>
              <w:rPr>
                <w:sz w:val="19"/>
              </w:rPr>
              <w:t>**Devlin et al. (2019)**</w:t>
            </w:r>
          </w:p>
        </w:tc>
        <w:tc>
          <w:tcPr>
            <w:tcW w:type="dxa" w:w="1872"/>
            <w:tcMar>
              <w:top w:w="120" w:type="dxa"/>
              <w:bottom w:w="120" w:type="dxa"/>
              <w:left w:w="150" w:type="dxa"/>
              <w:right w:w="150" w:type="dxa"/>
            </w:tcMar>
            <w:shd w:fill="F2F4F8"/>
          </w:tcPr>
          <w:p>
            <w:pPr>
              <w:spacing w:before="60" w:after="60"/>
            </w:pPr>
            <w:r>
              <w:rPr>
                <w:sz w:val="19"/>
              </w:rPr>
              <w:t>BERT (Bidirectional Encoder Representations from Transformers)</w:t>
            </w:r>
          </w:p>
        </w:tc>
        <w:tc>
          <w:tcPr>
            <w:tcW w:type="dxa" w:w="1872"/>
            <w:tcMar>
              <w:top w:w="120" w:type="dxa"/>
              <w:bottom w:w="120" w:type="dxa"/>
              <w:left w:w="150" w:type="dxa"/>
              <w:right w:w="150" w:type="dxa"/>
            </w:tcMar>
            <w:shd w:fill="F2F4F8"/>
          </w:tcPr>
          <w:p>
            <w:pPr>
              <w:spacing w:before="60" w:after="60"/>
            </w:pPr>
            <w:r>
              <w:rPr>
                <w:sz w:val="19"/>
              </w:rPr>
              <w:t>Strong contextual bidirectional sequence representations</w:t>
            </w:r>
          </w:p>
        </w:tc>
        <w:tc>
          <w:tcPr>
            <w:tcW w:type="dxa" w:w="1872"/>
            <w:tcMar>
              <w:top w:w="120" w:type="dxa"/>
              <w:bottom w:w="120" w:type="dxa"/>
              <w:left w:w="150" w:type="dxa"/>
              <w:right w:w="150" w:type="dxa"/>
            </w:tcMar>
            <w:shd w:fill="F2F4F8"/>
          </w:tcPr>
          <w:p>
            <w:pPr>
              <w:spacing w:before="60" w:after="60"/>
            </w:pPr>
            <w:r>
              <w:rPr>
                <w:sz w:val="19"/>
              </w:rPr>
              <w:t>Limited token length, lacking specialized cognitive taxonomy fine-tuning</w:t>
            </w:r>
          </w:p>
        </w:tc>
        <w:tc>
          <w:tcPr>
            <w:tcW w:type="dxa" w:w="1872"/>
            <w:tcMar>
              <w:top w:w="120" w:type="dxa"/>
              <w:bottom w:w="120" w:type="dxa"/>
              <w:left w:w="150" w:type="dxa"/>
              <w:right w:w="150" w:type="dxa"/>
            </w:tcMar>
            <w:shd w:fill="F2F4F8"/>
          </w:tcPr>
          <w:p>
            <w:pPr>
              <w:spacing w:before="60" w:after="60"/>
            </w:pPr>
            <w:r>
              <w:rPr>
                <w:sz w:val="19"/>
              </w:rPr>
              <w:t>Formed baseline for contextual embedding classification.</w:t>
            </w:r>
          </w:p>
        </w:tc>
      </w:tr>
      <w:tr>
        <w:tc>
          <w:tcPr>
            <w:tcW w:type="dxa" w:w="1872"/>
            <w:tcMar>
              <w:top w:w="120" w:type="dxa"/>
              <w:bottom w:w="120" w:type="dxa"/>
              <w:left w:w="150" w:type="dxa"/>
              <w:right w:w="150" w:type="dxa"/>
            </w:tcMar>
            <w:shd w:fill="FFFFFF"/>
          </w:tcPr>
          <w:p>
            <w:pPr>
              <w:spacing w:before="60" w:after="60"/>
            </w:pPr>
            <w:r>
              <w:rPr>
                <w:sz w:val="19"/>
              </w:rPr>
              <w:t>**He et al. (2021)**</w:t>
            </w:r>
          </w:p>
        </w:tc>
        <w:tc>
          <w:tcPr>
            <w:tcW w:type="dxa" w:w="1872"/>
            <w:tcMar>
              <w:top w:w="120" w:type="dxa"/>
              <w:bottom w:w="120" w:type="dxa"/>
              <w:left w:w="150" w:type="dxa"/>
              <w:right w:w="150" w:type="dxa"/>
            </w:tcMar>
            <w:shd w:fill="FFFFFF"/>
          </w:tcPr>
          <w:p>
            <w:pPr>
              <w:spacing w:before="60" w:after="60"/>
            </w:pPr>
            <w:r>
              <w:rPr>
                <w:sz w:val="19"/>
              </w:rPr>
              <w:t>DeBERTa (Decoding-enhanced BERT with Disentangled Attention)</w:t>
            </w:r>
          </w:p>
        </w:tc>
        <w:tc>
          <w:tcPr>
            <w:tcW w:type="dxa" w:w="1872"/>
            <w:tcMar>
              <w:top w:w="120" w:type="dxa"/>
              <w:bottom w:w="120" w:type="dxa"/>
              <w:left w:w="150" w:type="dxa"/>
              <w:right w:w="150" w:type="dxa"/>
            </w:tcMar>
            <w:shd w:fill="FFFFFF"/>
          </w:tcPr>
          <w:p>
            <w:pPr>
              <w:spacing w:before="60" w:after="60"/>
            </w:pPr>
            <w:r>
              <w:rPr>
                <w:sz w:val="19"/>
              </w:rPr>
              <w:t>Disentangled attention mechanism separating content and positional vectors</w:t>
            </w:r>
          </w:p>
        </w:tc>
        <w:tc>
          <w:tcPr>
            <w:tcW w:type="dxa" w:w="1872"/>
            <w:tcMar>
              <w:top w:w="120" w:type="dxa"/>
              <w:bottom w:w="120" w:type="dxa"/>
              <w:left w:w="150" w:type="dxa"/>
              <w:right w:w="150" w:type="dxa"/>
            </w:tcMar>
            <w:shd w:fill="FFFFFF"/>
          </w:tcPr>
          <w:p>
            <w:pPr>
              <w:spacing w:before="60" w:after="60"/>
            </w:pPr>
            <w:r>
              <w:rPr>
                <w:sz w:val="19"/>
              </w:rPr>
              <w:t>High memory footprint requiring sequential model management</w:t>
            </w:r>
          </w:p>
        </w:tc>
        <w:tc>
          <w:tcPr>
            <w:tcW w:type="dxa" w:w="1872"/>
            <w:tcMar>
              <w:top w:w="120" w:type="dxa"/>
              <w:bottom w:w="120" w:type="dxa"/>
              <w:left w:w="150" w:type="dxa"/>
              <w:right w:w="150" w:type="dxa"/>
            </w:tcMar>
            <w:shd w:fill="FFFFFF"/>
          </w:tcPr>
          <w:p>
            <w:pPr>
              <w:spacing w:before="60" w:after="60"/>
            </w:pPr>
            <w:r>
              <w:rPr>
                <w:sz w:val="19"/>
              </w:rPr>
              <w:t>Adapted as primary 6-class Bloom Taxonomy classifier.</w:t>
            </w:r>
          </w:p>
        </w:tc>
      </w:tr>
      <w:tr>
        <w:tc>
          <w:tcPr>
            <w:tcW w:type="dxa" w:w="1872"/>
            <w:tcMar>
              <w:top w:w="120" w:type="dxa"/>
              <w:bottom w:w="120" w:type="dxa"/>
              <w:left w:w="150" w:type="dxa"/>
              <w:right w:w="150" w:type="dxa"/>
            </w:tcMar>
            <w:shd w:fill="F2F4F8"/>
          </w:tcPr>
          <w:p>
            <w:pPr>
              <w:spacing w:before="60" w:after="60"/>
            </w:pPr>
            <w:r>
              <w:rPr>
                <w:sz w:val="19"/>
              </w:rPr>
              <w:t>**Chung et al. (2022)**</w:t>
            </w:r>
          </w:p>
        </w:tc>
        <w:tc>
          <w:tcPr>
            <w:tcW w:type="dxa" w:w="1872"/>
            <w:tcMar>
              <w:top w:w="120" w:type="dxa"/>
              <w:bottom w:w="120" w:type="dxa"/>
              <w:left w:w="150" w:type="dxa"/>
              <w:right w:w="150" w:type="dxa"/>
            </w:tcMar>
            <w:shd w:fill="F2F4F8"/>
          </w:tcPr>
          <w:p>
            <w:pPr>
              <w:spacing w:before="60" w:after="60"/>
            </w:pPr>
            <w:r>
              <w:rPr>
                <w:sz w:val="19"/>
              </w:rPr>
              <w:t>FLAN-T5 (Instruction-Finetuned T5)</w:t>
            </w:r>
          </w:p>
        </w:tc>
        <w:tc>
          <w:tcPr>
            <w:tcW w:type="dxa" w:w="1872"/>
            <w:tcMar>
              <w:top w:w="120" w:type="dxa"/>
              <w:bottom w:w="120" w:type="dxa"/>
              <w:left w:w="150" w:type="dxa"/>
              <w:right w:w="150" w:type="dxa"/>
            </w:tcMar>
            <w:shd w:fill="F2F4F8"/>
          </w:tcPr>
          <w:p>
            <w:pPr>
              <w:spacing w:before="60" w:after="60"/>
            </w:pPr>
            <w:r>
              <w:rPr>
                <w:sz w:val="19"/>
              </w:rPr>
              <w:t>Excellent zero-shot and instruction-following generation capability</w:t>
            </w:r>
          </w:p>
        </w:tc>
        <w:tc>
          <w:tcPr>
            <w:tcW w:type="dxa" w:w="1872"/>
            <w:tcMar>
              <w:top w:w="120" w:type="dxa"/>
              <w:bottom w:w="120" w:type="dxa"/>
              <w:left w:w="150" w:type="dxa"/>
              <w:right w:w="150" w:type="dxa"/>
            </w:tcMar>
            <w:shd w:fill="F2F4F8"/>
          </w:tcPr>
          <w:p>
            <w:pPr>
              <w:spacing w:before="60" w:after="60"/>
            </w:pPr>
            <w:r>
              <w:rPr>
                <w:sz w:val="19"/>
              </w:rPr>
              <w:t>Unconstrained generations can induce concept drift without validation</w:t>
            </w:r>
          </w:p>
        </w:tc>
        <w:tc>
          <w:tcPr>
            <w:tcW w:type="dxa" w:w="1872"/>
            <w:tcMar>
              <w:top w:w="120" w:type="dxa"/>
              <w:bottom w:w="120" w:type="dxa"/>
              <w:left w:w="150" w:type="dxa"/>
              <w:right w:w="150" w:type="dxa"/>
            </w:tcMar>
            <w:shd w:fill="F2F4F8"/>
          </w:tcPr>
          <w:p>
            <w:pPr>
              <w:spacing w:before="60" w:after="60"/>
            </w:pPr>
            <w:r>
              <w:rPr>
                <w:sz w:val="19"/>
              </w:rPr>
              <w:t>Selected as core sequence-to-sequence question transformation engine.</w:t>
            </w:r>
          </w:p>
        </w:tc>
      </w:tr>
      <w:tr>
        <w:tc>
          <w:tcPr>
            <w:tcW w:type="dxa" w:w="1872"/>
            <w:tcMar>
              <w:top w:w="120" w:type="dxa"/>
              <w:bottom w:w="120" w:type="dxa"/>
              <w:left w:w="150" w:type="dxa"/>
              <w:right w:w="150" w:type="dxa"/>
            </w:tcMar>
            <w:shd w:fill="FFFFFF"/>
          </w:tcPr>
          <w:p>
            <w:pPr>
              <w:spacing w:before="60" w:after="60"/>
            </w:pPr>
            <w:r>
              <w:rPr>
                <w:sz w:val="19"/>
              </w:rPr>
              <w:t>**Reimers &amp; Gurevych (2019)**</w:t>
            </w:r>
          </w:p>
        </w:tc>
        <w:tc>
          <w:tcPr>
            <w:tcW w:type="dxa" w:w="1872"/>
            <w:tcMar>
              <w:top w:w="120" w:type="dxa"/>
              <w:bottom w:w="120" w:type="dxa"/>
              <w:left w:w="150" w:type="dxa"/>
              <w:right w:w="150" w:type="dxa"/>
            </w:tcMar>
            <w:shd w:fill="FFFFFF"/>
          </w:tcPr>
          <w:p>
            <w:pPr>
              <w:spacing w:before="60" w:after="60"/>
            </w:pPr>
            <w:r>
              <w:rPr>
                <w:sz w:val="19"/>
              </w:rPr>
              <w:t>Sentence-BERT (SBERT)</w:t>
            </w:r>
          </w:p>
        </w:tc>
        <w:tc>
          <w:tcPr>
            <w:tcW w:type="dxa" w:w="1872"/>
            <w:tcMar>
              <w:top w:w="120" w:type="dxa"/>
              <w:bottom w:w="120" w:type="dxa"/>
              <w:left w:w="150" w:type="dxa"/>
              <w:right w:w="150" w:type="dxa"/>
            </w:tcMar>
            <w:shd w:fill="FFFFFF"/>
          </w:tcPr>
          <w:p>
            <w:pPr>
              <w:spacing w:before="60" w:after="60"/>
            </w:pPr>
            <w:r>
              <w:rPr>
                <w:sz w:val="19"/>
              </w:rPr>
              <w:t>Efficient dense vector representation for semantic similarity matching</w:t>
            </w:r>
          </w:p>
        </w:tc>
        <w:tc>
          <w:tcPr>
            <w:tcW w:type="dxa" w:w="1872"/>
            <w:tcMar>
              <w:top w:w="120" w:type="dxa"/>
              <w:bottom w:w="120" w:type="dxa"/>
              <w:left w:w="150" w:type="dxa"/>
              <w:right w:w="150" w:type="dxa"/>
            </w:tcMar>
            <w:shd w:fill="FFFFFF"/>
          </w:tcPr>
          <w:p>
            <w:pPr>
              <w:spacing w:before="60" w:after="60"/>
            </w:pPr>
            <w:r>
              <w:rPr>
                <w:sz w:val="19"/>
              </w:rPr>
              <w:t>Requires exact domain threshold tuning to prevent semantic false positives</w:t>
            </w:r>
          </w:p>
        </w:tc>
        <w:tc>
          <w:tcPr>
            <w:tcW w:type="dxa" w:w="1872"/>
            <w:tcMar>
              <w:top w:w="120" w:type="dxa"/>
              <w:bottom w:w="120" w:type="dxa"/>
              <w:left w:w="150" w:type="dxa"/>
              <w:right w:w="150" w:type="dxa"/>
            </w:tcMar>
            <w:shd w:fill="FFFFFF"/>
          </w:tcPr>
          <w:p>
            <w:pPr>
              <w:spacing w:before="60" w:after="60"/>
            </w:pPr>
            <w:r>
              <w:rPr>
                <w:sz w:val="19"/>
              </w:rPr>
              <w:t>Utilized for vector cosine similarity and duplicate check stages.</w:t>
            </w:r>
          </w:p>
        </w:tc>
      </w:tr>
    </w:tbl>
    <w:p/>
    <w:p>
      <w:pPr>
        <w:keepNext/>
        <w:spacing w:before="360" w:after="240"/>
      </w:pPr>
      <w:r>
        <w:rPr>
          <w:rFonts w:ascii="Arial" w:hAnsi="Arial"/>
          <w:b/>
          <w:color w:val="1F4E78"/>
          <w:sz w:val="40"/>
        </w:rPr>
        <w:t>CHAPTER 3: SYSTEM ANALYSIS</w:t>
      </w:r>
    </w:p>
    <w:p>
      <w:pPr>
        <w:keepNext/>
        <w:spacing w:before="280" w:after="120"/>
      </w:pPr>
      <w:r>
        <w:rPr>
          <w:rFonts w:ascii="Arial" w:hAnsi="Arial"/>
          <w:b/>
          <w:color w:val="2E75B6"/>
          <w:sz w:val="30"/>
        </w:rPr>
        <w:t>3.1 Existing System</w:t>
      </w:r>
    </w:p>
    <w:p>
      <w:pPr>
        <w:spacing w:before="60" w:after="120" w:line="276" w:lineRule="auto"/>
      </w:pPr>
      <w:r>
        <w:t>In existing academic environments, assessment question creation relies primarily on manual drafting by course instructors or static item selection from publisher-provided test banks. While automated question generators have recently emerged, they function primarily as basic template-fillers or unconstrained text summarizers.</w:t>
      </w:r>
    </w:p>
    <w:p>
      <w:pPr>
        <w:keepNext/>
        <w:spacing w:before="280" w:after="120"/>
      </w:pPr>
      <w:r>
        <w:rPr>
          <w:rFonts w:ascii="Arial" w:hAnsi="Arial"/>
          <w:b/>
          <w:color w:val="2E75B6"/>
          <w:sz w:val="30"/>
        </w:rPr>
        <w:t>3.2 Limitations of Existing System</w:t>
      </w:r>
    </w:p>
    <w:p>
      <w:pPr>
        <w:pStyle w:val="ListNumber"/>
        <w:spacing w:before="40" w:after="40"/>
      </w:pPr>
      <w:r/>
      <w:r>
        <w:rPr>
          <w:b/>
        </w:rPr>
        <w:t>Manual Labor Intensity</w:t>
      </w:r>
      <w:r>
        <w:t>: Constructing high-cognitive assessment questions requires significant time, limiting exam variant generation.</w:t>
      </w:r>
    </w:p>
    <w:p>
      <w:pPr>
        <w:pStyle w:val="ListNumber"/>
        <w:spacing w:before="40" w:after="40"/>
      </w:pPr>
      <w:r/>
      <w:r>
        <w:rPr>
          <w:b/>
        </w:rPr>
        <w:t>Cognitive Skew</w:t>
      </w:r>
      <w:r>
        <w:t>: Assessment items cluster heavily in lower Bloom levels (*Remember* ~60%, *Understand* ~25%, *Apply* ~10%, *Higher Tiers* $&lt;5\%$).</w:t>
      </w:r>
    </w:p>
    <w:p>
      <w:pPr>
        <w:pStyle w:val="ListNumber"/>
        <w:spacing w:before="40" w:after="40"/>
      </w:pPr>
      <w:r/>
      <w:r>
        <w:rPr>
          <w:b/>
        </w:rPr>
        <w:t>Unchecked Generative Hallucination</w:t>
      </w:r>
      <w:r>
        <w:t>: Off-the-shelf generative AI models corrupt technical terms, introduce non-existent parameters, or alter numerical constants.</w:t>
      </w:r>
    </w:p>
    <w:p>
      <w:pPr>
        <w:pStyle w:val="ListNumber"/>
        <w:spacing w:before="40" w:after="40"/>
      </w:pPr>
      <w:r/>
      <w:r>
        <w:rPr>
          <w:b/>
        </w:rPr>
        <w:t>Lack of Validation Pipelines</w:t>
      </w:r>
      <w:r>
        <w:t>: Existing systems lack automated real-time verification for syntax, domain alignment, and concept preservation.</w:t>
      </w:r>
    </w:p>
    <w:p>
      <w:pPr>
        <w:keepNext/>
        <w:spacing w:before="280" w:after="120"/>
      </w:pPr>
      <w:r>
        <w:rPr>
          <w:rFonts w:ascii="Arial" w:hAnsi="Arial"/>
          <w:b/>
          <w:color w:val="2E75B6"/>
          <w:sz w:val="30"/>
        </w:rPr>
        <w:t>3.3 Proposed System (BloomEngine)</w:t>
      </w:r>
    </w:p>
    <w:p>
      <w:pPr>
        <w:spacing w:before="60" w:after="120" w:line="276" w:lineRule="auto"/>
      </w:pPr>
      <w:r>
        <w:t>BloomEngine introduces an end-to-end automated pipeline that ingests low-cognitive questions, identifies their underlying domain and concepts, transforms them into target higher-order Bloom levels using fine-tuned FLAN-T5 models, and enforces quality control via a multi-stage validation engine.</w:t>
      </w:r>
    </w:p>
    <w:p>
      <w:pPr>
        <w:keepNext/>
        <w:spacing w:before="280" w:after="120"/>
      </w:pPr>
      <w:r>
        <w:rPr>
          <w:rFonts w:ascii="Arial" w:hAnsi="Arial"/>
          <w:b/>
          <w:color w:val="2E75B6"/>
          <w:sz w:val="30"/>
        </w:rPr>
        <w:t>3.4 Advantages of Proposed System</w:t>
      </w:r>
    </w:p>
    <w:p>
      <w:pPr>
        <w:pStyle w:val="ListNumber"/>
        <w:spacing w:before="40" w:after="40"/>
      </w:pPr>
      <w:r/>
      <w:r>
        <w:rPr>
          <w:b/>
        </w:rPr>
        <w:t>Taxonomic Target Precision</w:t>
      </w:r>
      <w:r>
        <w:t>: Achieves exact Bloom cognitive target alignment through fine-tuned DeBERTa classification.</w:t>
      </w:r>
    </w:p>
    <w:p>
      <w:pPr>
        <w:pStyle w:val="ListNumber"/>
        <w:spacing w:before="40" w:after="40"/>
      </w:pPr>
      <w:r/>
      <w:r>
        <w:rPr>
          <w:b/>
        </w:rPr>
        <w:t>Concept &amp; Entity Preservation</w:t>
      </w:r>
      <w:r>
        <w:t>: Guarantees preservation of core technical terms and noun phrases using spaCy linguistic parsing.</w:t>
      </w:r>
    </w:p>
    <w:p>
      <w:pPr>
        <w:pStyle w:val="ListNumber"/>
        <w:spacing w:before="40" w:after="40"/>
      </w:pPr>
      <w:r/>
      <w:r>
        <w:rPr>
          <w:b/>
        </w:rPr>
        <w:t>Automated Multi-Candidate Validation</w:t>
      </w:r>
      <w:r>
        <w:t>: Evaluates generated variants across multiple validation stages before selecting the top-ranked candidate.</w:t>
      </w:r>
    </w:p>
    <w:p>
      <w:pPr>
        <w:pStyle w:val="ListNumber"/>
        <w:spacing w:before="40" w:after="40"/>
      </w:pPr>
      <w:r/>
      <w:r>
        <w:rPr>
          <w:b/>
        </w:rPr>
        <w:t>Multi-Format Batch Ingestion &amp; Export</w:t>
      </w:r>
      <w:r>
        <w:t>: Supports bulk processing of `.xlsx`, `.csv`, `.docx`, `.pdf`, and `.pptx` documents with real-time analytics.</w:t>
      </w:r>
    </w:p>
    <w:p>
      <w:pPr>
        <w:keepNext/>
        <w:spacing w:before="360" w:after="240"/>
      </w:pPr>
      <w:r>
        <w:rPr>
          <w:rFonts w:ascii="Arial" w:hAnsi="Arial"/>
          <w:b/>
          <w:color w:val="1F4E78"/>
          <w:sz w:val="40"/>
        </w:rPr>
        <w:t>CHAPTER 4: SYSTEM DESIGN</w:t>
      </w:r>
    </w:p>
    <w:p>
      <w:pPr>
        <w:keepNext/>
        <w:spacing w:before="280" w:after="120"/>
      </w:pPr>
      <w:r>
        <w:rPr>
          <w:rFonts w:ascii="Arial" w:hAnsi="Arial"/>
          <w:b/>
          <w:color w:val="2E75B6"/>
          <w:sz w:val="30"/>
        </w:rPr>
        <w:t>4.1 High Level Design</w:t>
      </w:r>
    </w:p>
    <w:p>
      <w:pPr>
        <w:spacing w:before="60" w:after="120" w:line="276" w:lineRule="auto"/>
      </w:pPr>
      <w:r>
        <w:t xml:space="preserve">The High-Level Design (HLD) of </w:t>
      </w:r>
      <w:r>
        <w:rPr>
          <w:b/>
        </w:rPr>
        <w:t>BloomEngine</w:t>
      </w:r>
      <w:r>
        <w:t xml:space="preserve"> defines the macro-architectural structure, system boundaries, component relationships, and multi-tiered operational layers of the platform. The system is architected as a decoupled client-server model organized into five core operational layers:</w:t>
      </w:r>
    </w:p>
    <w:p>
      <w:pPr>
        <w:pStyle w:val="ListNumber"/>
        <w:spacing w:before="40" w:after="40"/>
      </w:pPr>
      <w:r/>
      <w:r>
        <w:rPr>
          <w:b/>
        </w:rPr>
        <w:t>Presentation Layer</w:t>
      </w:r>
      <w:r>
        <w:t>: A responsive Single Page Application (SPA) web interface engineered with HTML5, Vanilla CSS, Tailwind CSS, JavaScript, and Chart.js for real-time analytics visualization.</w:t>
      </w:r>
    </w:p>
    <w:p>
      <w:pPr>
        <w:pStyle w:val="ListNumber"/>
        <w:spacing w:before="40" w:after="40"/>
      </w:pPr>
      <w:r/>
      <w:r>
        <w:rPr>
          <w:b/>
        </w:rPr>
        <w:t>Application Controller Layer</w:t>
      </w:r>
      <w:r>
        <w:t>: A Flask 3.0 server (`app.py`) orchestrating HTTP REST API routes (`/rephrase`, `/export`), request validation, process memory management, thread locks, and session state.</w:t>
      </w:r>
    </w:p>
    <w:p>
      <w:pPr>
        <w:pStyle w:val="ListNumber"/>
        <w:spacing w:before="40" w:after="40"/>
      </w:pPr>
      <w:r/>
      <w:r>
        <w:rPr>
          <w:b/>
        </w:rPr>
        <w:t>Question Parsing &amp; Linguistic Layer</w:t>
      </w:r>
      <w:r>
        <w:t>: Integrates spaCy (`en_core_web_sm`) for Part-of-Speech (POS) tagging, compound noun chunking, named entity recognition (NER), CS abbreviation expansion, and hierarchical domain classification.</w:t>
      </w:r>
    </w:p>
    <w:p>
      <w:pPr>
        <w:pStyle w:val="ListNumber"/>
        <w:spacing w:before="40" w:after="40"/>
      </w:pPr>
      <w:r/>
      <w:r>
        <w:rPr>
          <w:b/>
        </w:rPr>
        <w:t>Deep Learning &amp; Inference Layer</w:t>
      </w:r>
      <w:r>
        <w:t>: Houses local PyTorch model weights for fine-tuned DeBERTa-v3 sequence classification, fine-tuned FLAN-T5 sequence-to-sequence transformation, and SentenceTransformer dense vector encoding (`all-MiniLM-L6-v2`).</w:t>
      </w:r>
    </w:p>
    <w:p>
      <w:pPr>
        <w:pStyle w:val="ListNumber"/>
        <w:spacing w:before="40" w:after="40"/>
      </w:pPr>
      <w:r/>
      <w:r>
        <w:rPr>
          <w:b/>
        </w:rPr>
        <w:t>Validation Engine &amp; Persistence Layer</w:t>
      </w:r>
      <w:r>
        <w:t>: Executes the 7-stage modular validation engine, dynamic candidate ranking algorithm, transient session memory store, and vector embedding cache.</w:t>
      </w:r>
    </w:p>
    <w:p>
      <w:pPr>
        <w:spacing w:before="240" w:after="80"/>
        <w:jc w:val="center"/>
      </w:pPr>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fig_4_1_system_architecture.png"/>
                    <pic:cNvPicPr/>
                  </pic:nvPicPr>
                  <pic:blipFill>
                    <a:blip r:embed="rId9"/>
                    <a:stretch>
                      <a:fillRect/>
                    </a:stretch>
                  </pic:blipFill>
                  <pic:spPr>
                    <a:xfrm>
                      <a:off x="0" y="0"/>
                      <a:ext cx="5486400" cy="3269673"/>
                    </a:xfrm>
                    <a:prstGeom prst="rect"/>
                  </pic:spPr>
                </pic:pic>
              </a:graphicData>
            </a:graphic>
          </wp:inline>
        </w:drawing>
      </w:r>
    </w:p>
    <w:p>
      <w:pPr>
        <w:spacing w:before="60" w:after="120" w:line="276" w:lineRule="auto"/>
        <w:jc w:val="center"/>
      </w:pPr>
      <w:r/>
      <w:r>
        <w:rPr>
          <w:i/>
          <w:color w:val="555555"/>
        </w:rPr>
        <w:t>Figure 4.1: BloomEngine System Architecture Diagram.</w:t>
      </w:r>
      <w:r/>
    </w:p>
    <w:p>
      <w:pPr>
        <w:keepNext/>
        <w:spacing w:before="280" w:after="120"/>
      </w:pPr>
      <w:r>
        <w:rPr>
          <w:rFonts w:ascii="Arial" w:hAnsi="Arial"/>
          <w:b/>
          <w:color w:val="2E75B6"/>
          <w:sz w:val="30"/>
        </w:rPr>
        <w:t>4.2 Low Level Design</w:t>
      </w:r>
    </w:p>
    <w:p>
      <w:pPr>
        <w:spacing w:before="60" w:after="120" w:line="276" w:lineRule="auto"/>
      </w:pPr>
      <w:r>
        <w:t>The Low-Level Design (LLD) provides detailed specifications of the internal system components, data structures, control logic, behavioral flows, interaction sequences, and data storage schemas.</w:t>
      </w:r>
    </w:p>
    <w:p>
      <w:pPr>
        <w:keepNext/>
        <w:spacing w:before="200" w:after="80"/>
      </w:pPr>
      <w:r>
        <w:rPr>
          <w:rFonts w:ascii="Arial" w:hAnsi="Arial"/>
          <w:b/>
          <w:color w:val="333333"/>
          <w:sz w:val="25"/>
        </w:rPr>
        <w:t>4.2.1 System Modules Decomposition</w:t>
      </w:r>
    </w:p>
    <w:p>
      <w:pPr>
        <w:spacing w:before="60" w:after="120" w:line="276" w:lineRule="auto"/>
      </w:pPr>
      <w:r>
        <w:t>BloomEngine is structured into six tightly focused, modular components:</w:t>
      </w:r>
    </w:p>
    <w:p>
      <w:pPr>
        <w:pStyle w:val="ListBullet"/>
        <w:spacing w:before="40" w:after="40"/>
      </w:pPr>
      <w:r/>
      <w:r>
        <w:rPr>
          <w:b/>
        </w:rPr>
        <w:t>M1: Question Parser &amp; Profiler (`question_understanding.py`)</w:t>
      </w:r>
      <w:r>
        <w:t>: Normalizes input text, cleans unicode characters, expands technical abbreviations, extracts noun chunks, named entities, numerical parameters, and maps hierarchical domain paths (</w:t>
      </w:r>
      <w:r>
        <w:rPr>
          <w:b/>
        </w:rPr>
        <w:t>Domain $\rightarrow$ Subject $\rightarrow$ Topic</w:t>
      </w:r>
      <w:r>
        <w:t>).</w:t>
      </w:r>
    </w:p>
    <w:p>
      <w:pPr>
        <w:pStyle w:val="ListBullet"/>
        <w:spacing w:before="40" w:after="40"/>
      </w:pPr>
      <w:r/>
      <w:r>
        <w:rPr>
          <w:b/>
        </w:rPr>
        <w:t>M2: Taxonomic Classifier (`deberta_bloom_model`)</w:t>
      </w:r>
      <w:r>
        <w:t>: Fine-tuned DeBERTa-v3 sequence classification model that categorizes questions into Bloom's Taxonomy cognitive levels (*Remember*, *Understand*, *Apply*, *Analyze*, *Evaluate*, *Create*) and difficulty tiers (*Easy*, *Medium*, *Hard*) with softmax confidence scoring.</w:t>
      </w:r>
    </w:p>
    <w:p>
      <w:pPr>
        <w:pStyle w:val="ListBullet"/>
        <w:spacing w:before="40" w:after="40"/>
      </w:pPr>
      <w:r/>
      <w:r>
        <w:rPr>
          <w:b/>
        </w:rPr>
        <w:t>M3: Seq2Seq Transformation Engine (`flan_t5_model`)</w:t>
      </w:r>
      <w:r>
        <w:t>: Fine-tuned FLAN-T5 sequence generator that synthesizes question variants based on instruction-guided prompts, target Bloom cognitive levels, and domain contexts.</w:t>
      </w:r>
    </w:p>
    <w:p>
      <w:pPr>
        <w:pStyle w:val="ListBullet"/>
        <w:spacing w:before="40" w:after="40"/>
      </w:pPr>
      <w:r/>
      <w:r>
        <w:rPr>
          <w:b/>
        </w:rPr>
        <w:t>M4: 7-Stage Validation Engine (`validation_engine.py`)</w:t>
      </w:r>
      <w:r>
        <w:t>: Executes sequential quality verification across seven stages: Bloom verb alignment, concept preservation, entity retention, numerical constraint matching, domain consistency, semantic similarity, and syntactic grammar.</w:t>
      </w:r>
    </w:p>
    <w:p>
      <w:pPr>
        <w:pStyle w:val="ListBullet"/>
        <w:spacing w:before="40" w:after="40"/>
      </w:pPr>
      <w:r/>
      <w:r>
        <w:rPr>
          <w:b/>
        </w:rPr>
        <w:t>M5: Dynamic Candidate Ranker (`candidate_ranker.py`)</w:t>
      </w:r>
      <w:r>
        <w:t>: Evaluates candidate quality using a weighted multi-factor formula (Bloom Match: 35%, Domain: 20%, Topic: 15%, Concept: 10%, Entity: 10%, Number: 5%, Syntax: 3%, Uniqueness: 2%).</w:t>
      </w:r>
    </w:p>
    <w:p>
      <w:pPr>
        <w:pStyle w:val="ListBullet"/>
        <w:spacing w:before="40" w:after="40"/>
      </w:pPr>
      <w:r/>
      <w:r>
        <w:rPr>
          <w:b/>
        </w:rPr>
        <w:t>M6: Document Ingestion &amp; Export Engine</w:t>
      </w:r>
      <w:r>
        <w:t>: Manages multi-format batch file ingestion (`.xlsx`, `.csv`, `.docx`, `.pdf`, `.pptx`) and exports formatted evaluation reports.</w:t>
      </w:r>
    </w:p>
    <w:p>
      <w:pPr>
        <w:spacing w:before="240" w:after="80"/>
        <w:jc w:val="center"/>
      </w:pPr>
      <w:r>
        <w:drawing>
          <wp:inline xmlns:a="http://schemas.openxmlformats.org/drawingml/2006/main" xmlns:pic="http://schemas.openxmlformats.org/drawingml/2006/picture">
            <wp:extent cx="5486400" cy="3546764"/>
            <wp:docPr id="2" name="Picture 2"/>
            <wp:cNvGraphicFramePr>
              <a:graphicFrameLocks noChangeAspect="1"/>
            </wp:cNvGraphicFramePr>
            <a:graphic>
              <a:graphicData uri="http://schemas.openxmlformats.org/drawingml/2006/picture">
                <pic:pic>
                  <pic:nvPicPr>
                    <pic:cNvPr id="0" name="fig_4_2_system_modules.png"/>
                    <pic:cNvPicPr/>
                  </pic:nvPicPr>
                  <pic:blipFill>
                    <a:blip r:embed="rId10"/>
                    <a:stretch>
                      <a:fillRect/>
                    </a:stretch>
                  </pic:blipFill>
                  <pic:spPr>
                    <a:xfrm>
                      <a:off x="0" y="0"/>
                      <a:ext cx="5486400" cy="3546764"/>
                    </a:xfrm>
                    <a:prstGeom prst="rect"/>
                  </pic:spPr>
                </pic:pic>
              </a:graphicData>
            </a:graphic>
          </wp:inline>
        </w:drawing>
      </w:r>
    </w:p>
    <w:p>
      <w:pPr>
        <w:spacing w:before="60" w:after="120" w:line="276" w:lineRule="auto"/>
        <w:jc w:val="center"/>
      </w:pPr>
      <w:r/>
      <w:r>
        <w:rPr>
          <w:i/>
          <w:color w:val="555555"/>
        </w:rPr>
        <w:t>Figure 4.2: System Modules Decomposition Diagram.</w:t>
      </w:r>
      <w:r/>
    </w:p>
    <w:p>
      <w:pPr>
        <w:keepNext/>
        <w:spacing w:before="200" w:after="80"/>
      </w:pPr>
      <w:r>
        <w:rPr>
          <w:rFonts w:ascii="Arial" w:hAnsi="Arial"/>
          <w:b/>
          <w:color w:val="333333"/>
          <w:sz w:val="25"/>
        </w:rPr>
        <w:t>4.2.2 UML Use Case Diagram</w:t>
      </w:r>
    </w:p>
    <w:p>
      <w:pPr>
        <w:spacing w:before="60" w:after="120" w:line="276" w:lineRule="auto"/>
      </w:pPr>
      <w:r>
        <w:t>The UML Use Case Diagram models the functional interactions between the primary actor (</w:t>
      </w:r>
      <w:r>
        <w:rPr>
          <w:b/>
        </w:rPr>
        <w:t>Educator / User</w:t>
      </w:r>
      <w:r>
        <w:t>) and the core features of the system boundary. Key use cases include single-question transformation, target cognitive level configuration, batch file ingestion, validation matrix inspection, real-time analytics viewing, and multi-format report exporting.</w:t>
      </w:r>
    </w:p>
    <w:p>
      <w:pPr>
        <w:spacing w:before="240" w:after="80"/>
        <w:jc w:val="center"/>
      </w:pPr>
      <w:r>
        <w:drawing>
          <wp:inline xmlns:a="http://schemas.openxmlformats.org/drawingml/2006/main" xmlns:pic="http://schemas.openxmlformats.org/drawingml/2006/picture">
            <wp:extent cx="5486400" cy="3637052"/>
            <wp:docPr id="3" name="Picture 3"/>
            <wp:cNvGraphicFramePr>
              <a:graphicFrameLocks noChangeAspect="1"/>
            </wp:cNvGraphicFramePr>
            <a:graphic>
              <a:graphicData uri="http://schemas.openxmlformats.org/drawingml/2006/picture">
                <pic:pic>
                  <pic:nvPicPr>
                    <pic:cNvPr id="0" name="fig_4_3_use_case_diagram.png"/>
                    <pic:cNvPicPr/>
                  </pic:nvPicPr>
                  <pic:blipFill>
                    <a:blip r:embed="rId11"/>
                    <a:stretch>
                      <a:fillRect/>
                    </a:stretch>
                  </pic:blipFill>
                  <pic:spPr>
                    <a:xfrm>
                      <a:off x="0" y="0"/>
                      <a:ext cx="5486400" cy="3637052"/>
                    </a:xfrm>
                    <a:prstGeom prst="rect"/>
                  </pic:spPr>
                </pic:pic>
              </a:graphicData>
            </a:graphic>
          </wp:inline>
        </w:drawing>
      </w:r>
    </w:p>
    <w:p>
      <w:pPr>
        <w:spacing w:before="60" w:after="120" w:line="276" w:lineRule="auto"/>
        <w:jc w:val="center"/>
      </w:pPr>
      <w:r/>
      <w:r>
        <w:rPr>
          <w:i/>
          <w:color w:val="555555"/>
        </w:rPr>
        <w:t>Figure 4.3: UML Use Case Diagram for BloomEngine.</w:t>
      </w:r>
      <w:r/>
    </w:p>
    <w:p>
      <w:pPr>
        <w:keepNext/>
        <w:spacing w:before="200" w:after="80"/>
      </w:pPr>
      <w:r>
        <w:rPr>
          <w:rFonts w:ascii="Arial" w:hAnsi="Arial"/>
          <w:b/>
          <w:color w:val="333333"/>
          <w:sz w:val="25"/>
        </w:rPr>
        <w:t>4.2.3 UML Activity Diagram</w:t>
      </w:r>
    </w:p>
    <w:p>
      <w:pPr>
        <w:spacing w:before="60" w:after="120" w:line="276" w:lineRule="auto"/>
      </w:pPr>
      <w:r>
        <w:t>The UML Activity Diagram details the step-by-step operational workflow during a question transformation request. The activity flow starts at question ingestion, passes through text normalization, baseline DeBERTa classification, multi-candidate FLAN-T5 generation, 7-stage validation evaluation, and terminates at candidate selection or adaptive retry logging.</w:t>
      </w:r>
    </w:p>
    <w:p>
      <w:pPr>
        <w:spacing w:before="240" w:after="80"/>
        <w:jc w:val="center"/>
      </w:pPr>
      <w:r>
        <w:drawing>
          <wp:inline xmlns:a="http://schemas.openxmlformats.org/drawingml/2006/main" xmlns:pic="http://schemas.openxmlformats.org/drawingml/2006/picture">
            <wp:extent cx="5486400" cy="5139159"/>
            <wp:docPr id="4" name="Picture 4"/>
            <wp:cNvGraphicFramePr>
              <a:graphicFrameLocks noChangeAspect="1"/>
            </wp:cNvGraphicFramePr>
            <a:graphic>
              <a:graphicData uri="http://schemas.openxmlformats.org/drawingml/2006/picture">
                <pic:pic>
                  <pic:nvPicPr>
                    <pic:cNvPr id="0" name="fig_4_4_activity_diagram.png"/>
                    <pic:cNvPicPr/>
                  </pic:nvPicPr>
                  <pic:blipFill>
                    <a:blip r:embed="rId12"/>
                    <a:stretch>
                      <a:fillRect/>
                    </a:stretch>
                  </pic:blipFill>
                  <pic:spPr>
                    <a:xfrm>
                      <a:off x="0" y="0"/>
                      <a:ext cx="5486400" cy="5139159"/>
                    </a:xfrm>
                    <a:prstGeom prst="rect"/>
                  </pic:spPr>
                </pic:pic>
              </a:graphicData>
            </a:graphic>
          </wp:inline>
        </w:drawing>
      </w:r>
    </w:p>
    <w:p>
      <w:pPr>
        <w:spacing w:before="60" w:after="120" w:line="276" w:lineRule="auto"/>
        <w:jc w:val="center"/>
      </w:pPr>
      <w:r/>
      <w:r>
        <w:rPr>
          <w:i/>
          <w:color w:val="555555"/>
        </w:rPr>
        <w:t>Figure 4.4: UML Activity Diagram (Question Transformation Flow).</w:t>
      </w:r>
      <w:r/>
    </w:p>
    <w:p>
      <w:pPr>
        <w:keepNext/>
        <w:spacing w:before="200" w:after="80"/>
      </w:pPr>
      <w:r>
        <w:rPr>
          <w:rFonts w:ascii="Arial" w:hAnsi="Arial"/>
          <w:b/>
          <w:color w:val="333333"/>
          <w:sz w:val="25"/>
        </w:rPr>
        <w:t>4.2.4 UML Sequence Diagram</w:t>
      </w:r>
    </w:p>
    <w:p>
      <w:pPr>
        <w:spacing w:before="60" w:after="120" w:line="276" w:lineRule="auto"/>
      </w:pPr>
      <w:r>
        <w:t>The UML Sequence Diagram traces the exact message call sequence and lifetime execution between client UI components, Flask REST API endpoints, transformer model workers, and validation objects. It documents the asynchronous request handling, model inference execution, validation output returning, and JSON payload construction.</w:t>
      </w:r>
    </w:p>
    <w:p>
      <w:pPr>
        <w:spacing w:before="240" w:after="80"/>
        <w:jc w:val="center"/>
      </w:pPr>
      <w:r>
        <w:drawing>
          <wp:inline xmlns:a="http://schemas.openxmlformats.org/drawingml/2006/main" xmlns:pic="http://schemas.openxmlformats.org/drawingml/2006/picture">
            <wp:extent cx="5486400" cy="3269673"/>
            <wp:docPr id="5" name="Picture 5"/>
            <wp:cNvGraphicFramePr>
              <a:graphicFrameLocks noChangeAspect="1"/>
            </wp:cNvGraphicFramePr>
            <a:graphic>
              <a:graphicData uri="http://schemas.openxmlformats.org/drawingml/2006/picture">
                <pic:pic>
                  <pic:nvPicPr>
                    <pic:cNvPr id="0" name="fig_4_5_sequence_diagram.png"/>
                    <pic:cNvPicPr/>
                  </pic:nvPicPr>
                  <pic:blipFill>
                    <a:blip r:embed="rId13"/>
                    <a:stretch>
                      <a:fillRect/>
                    </a:stretch>
                  </pic:blipFill>
                  <pic:spPr>
                    <a:xfrm>
                      <a:off x="0" y="0"/>
                      <a:ext cx="5486400" cy="3269673"/>
                    </a:xfrm>
                    <a:prstGeom prst="rect"/>
                  </pic:spPr>
                </pic:pic>
              </a:graphicData>
            </a:graphic>
          </wp:inline>
        </w:drawing>
      </w:r>
    </w:p>
    <w:p>
      <w:pPr>
        <w:spacing w:before="60" w:after="120" w:line="276" w:lineRule="auto"/>
        <w:jc w:val="center"/>
      </w:pPr>
      <w:r/>
      <w:r>
        <w:rPr>
          <w:i/>
          <w:color w:val="555555"/>
        </w:rPr>
        <w:t>Figure 4.5: UML Sequence Diagram (Question Transformation Lifecycle).</w:t>
      </w:r>
      <w:r/>
    </w:p>
    <w:p>
      <w:pPr>
        <w:keepNext/>
        <w:spacing w:before="200" w:after="80"/>
      </w:pPr>
      <w:r>
        <w:rPr>
          <w:rFonts w:ascii="Arial" w:hAnsi="Arial"/>
          <w:b/>
          <w:color w:val="333333"/>
          <w:sz w:val="25"/>
        </w:rPr>
        <w:t>4.2.5 Data Flow Diagram (DFD Level 1)</w:t>
      </w:r>
    </w:p>
    <w:p>
      <w:pPr>
        <w:spacing w:before="60" w:after="120" w:line="276" w:lineRule="auto"/>
      </w:pPr>
      <w:r>
        <w:t>The Data Flow Diagram (DFD Level 1) maps data transformations, process transformations, and storage nodes across the application pipeline. Input questions flow through Process 1 (Parser), Process 2 (DeBERTa Classifier), Process 3 (FLAN-T5 Generator), Process 4 (Validation Engine), and Process 5 (Candidate Ranker) before being written to Data Store 1 (`MEMORY_STORE`) and Data Store 2 (`EMBEDDING_CACHE`).</w:t>
      </w:r>
    </w:p>
    <w:p>
      <w:pPr>
        <w:spacing w:before="240" w:after="80"/>
        <w:jc w:val="center"/>
      </w:pPr>
      <w:r>
        <w:drawing>
          <wp:inline xmlns:a="http://schemas.openxmlformats.org/drawingml/2006/main" xmlns:pic="http://schemas.openxmlformats.org/drawingml/2006/picture">
            <wp:extent cx="5486400" cy="3269673"/>
            <wp:docPr id="6" name="Picture 6"/>
            <wp:cNvGraphicFramePr>
              <a:graphicFrameLocks noChangeAspect="1"/>
            </wp:cNvGraphicFramePr>
            <a:graphic>
              <a:graphicData uri="http://schemas.openxmlformats.org/drawingml/2006/picture">
                <pic:pic>
                  <pic:nvPicPr>
                    <pic:cNvPr id="0" name="fig_4_6_dfd_level1.png"/>
                    <pic:cNvPicPr/>
                  </pic:nvPicPr>
                  <pic:blipFill>
                    <a:blip r:embed="rId14"/>
                    <a:stretch>
                      <a:fillRect/>
                    </a:stretch>
                  </pic:blipFill>
                  <pic:spPr>
                    <a:xfrm>
                      <a:off x="0" y="0"/>
                      <a:ext cx="5486400" cy="3269673"/>
                    </a:xfrm>
                    <a:prstGeom prst="rect"/>
                  </pic:spPr>
                </pic:pic>
              </a:graphicData>
            </a:graphic>
          </wp:inline>
        </w:drawing>
      </w:r>
    </w:p>
    <w:p>
      <w:pPr>
        <w:spacing w:before="60" w:after="120" w:line="276" w:lineRule="auto"/>
        <w:jc w:val="center"/>
      </w:pPr>
      <w:r/>
      <w:r>
        <w:rPr>
          <w:i/>
          <w:color w:val="555555"/>
        </w:rPr>
        <w:t>Figure 4.6: Data Flow Diagram (DFD Level 1).</w:t>
      </w:r>
      <w:r/>
    </w:p>
    <w:p>
      <w:pPr>
        <w:keepNext/>
        <w:spacing w:before="200" w:after="80"/>
      </w:pPr>
      <w:r>
        <w:rPr>
          <w:rFonts w:ascii="Arial" w:hAnsi="Arial"/>
          <w:b/>
          <w:color w:val="333333"/>
          <w:sz w:val="25"/>
        </w:rPr>
        <w:t>4.2.6 Database Design &amp; In-Memory Cache Schema</w:t>
      </w:r>
    </w:p>
    <w:p>
      <w:pPr>
        <w:spacing w:before="60" w:after="120" w:line="276" w:lineRule="auto"/>
      </w:pPr>
      <w:r>
        <w:t>BloomEngine uses an in-memory session store backed by SQLite cache structures to maintain transient session history, batch processing state, vector embeddings, and candidate scoring logs.</w:t>
      </w:r>
    </w:p>
    <w:p>
      <w:pPr>
        <w:pStyle w:val="ListBullet"/>
        <w:spacing w:before="40" w:after="40"/>
      </w:pPr>
      <w:r/>
      <w:r>
        <w:rPr>
          <w:b/>
        </w:rPr>
        <w:t>`QuestionSession`</w:t>
      </w:r>
      <w:r>
        <w:t>: Primary session record ($1 : N$ with `ValidationResult`).</w:t>
      </w:r>
    </w:p>
    <w:p>
      <w:pPr>
        <w:pStyle w:val="ListBullet"/>
        <w:spacing w:before="40" w:after="40"/>
      </w:pPr>
      <w:r/>
      <w:r>
        <w:rPr>
          <w:b/>
        </w:rPr>
        <w:t>`ValidationResult`</w:t>
      </w:r>
      <w:r>
        <w:t>: Stores source question, target Bloom level, predicted Bloom level, validation status, total score, and explanation ($1 : N$ with `CandidateLog`).</w:t>
      </w:r>
    </w:p>
    <w:p>
      <w:pPr>
        <w:pStyle w:val="ListBullet"/>
        <w:spacing w:before="40" w:after="40"/>
      </w:pPr>
      <w:r/>
      <w:r>
        <w:rPr>
          <w:b/>
        </w:rPr>
        <w:t>`CandidateLog`</w:t>
      </w:r>
      <w:r>
        <w:t>: Individual candidate variant metrics and stage score breakdowns.</w:t>
      </w:r>
    </w:p>
    <w:p>
      <w:pPr>
        <w:pStyle w:val="ListBullet"/>
        <w:spacing w:before="40" w:after="40"/>
      </w:pPr>
      <w:r/>
      <w:r>
        <w:rPr>
          <w:b/>
        </w:rPr>
        <w:t>`EmbeddingCache`</w:t>
      </w:r>
      <w:r>
        <w:t>: Pre-computed SBERT 384-dimensional dense vector embeddings for rapid semantic lookup.</w:t>
      </w:r>
    </w:p>
    <w:p>
      <w:pPr>
        <w:spacing w:before="240" w:after="80"/>
        <w:jc w:val="center"/>
      </w:pPr>
      <w:r>
        <w:drawing>
          <wp:inline xmlns:a="http://schemas.openxmlformats.org/drawingml/2006/main" xmlns:pic="http://schemas.openxmlformats.org/drawingml/2006/picture">
            <wp:extent cx="5486400" cy="3264131"/>
            <wp:docPr id="7" name="Picture 7"/>
            <wp:cNvGraphicFramePr>
              <a:graphicFrameLocks noChangeAspect="1"/>
            </wp:cNvGraphicFramePr>
            <a:graphic>
              <a:graphicData uri="http://schemas.openxmlformats.org/drawingml/2006/picture">
                <pic:pic>
                  <pic:nvPicPr>
                    <pic:cNvPr id="0" name="fig_4_7_database_schema.png"/>
                    <pic:cNvPicPr/>
                  </pic:nvPicPr>
                  <pic:blipFill>
                    <a:blip r:embed="rId15"/>
                    <a:stretch>
                      <a:fillRect/>
                    </a:stretch>
                  </pic:blipFill>
                  <pic:spPr>
                    <a:xfrm>
                      <a:off x="0" y="0"/>
                      <a:ext cx="5486400" cy="3264131"/>
                    </a:xfrm>
                    <a:prstGeom prst="rect"/>
                  </pic:spPr>
                </pic:pic>
              </a:graphicData>
            </a:graphic>
          </wp:inline>
        </w:drawing>
      </w:r>
    </w:p>
    <w:p>
      <w:pPr>
        <w:spacing w:before="60" w:after="120" w:line="276" w:lineRule="auto"/>
        <w:jc w:val="center"/>
      </w:pPr>
      <w:r/>
      <w:r>
        <w:rPr>
          <w:i/>
          <w:color w:val="555555"/>
        </w:rPr>
        <w:t>Figure 4.7: Database &amp; In-Memory Cache Entity-Relationship Schema.</w:t>
      </w:r>
      <w:r/>
    </w:p>
    <w:p>
      <w:pPr>
        <w:keepNext/>
        <w:spacing w:before="360" w:after="240"/>
      </w:pPr>
      <w:r>
        <w:rPr>
          <w:rFonts w:ascii="Arial" w:hAnsi="Arial"/>
          <w:b/>
          <w:color w:val="1F4E78"/>
          <w:sz w:val="40"/>
        </w:rPr>
        <w:t>CHAPTER 5: DATA COLLECTION AND PREPARATION</w:t>
      </w:r>
    </w:p>
    <w:p>
      <w:pPr>
        <w:keepNext/>
        <w:spacing w:before="280" w:after="120"/>
      </w:pPr>
      <w:r>
        <w:rPr>
          <w:rFonts w:ascii="Arial" w:hAnsi="Arial"/>
          <w:b/>
          <w:color w:val="2E75B6"/>
          <w:sz w:val="30"/>
        </w:rPr>
        <w:t>5.1 Data Sources</w:t>
      </w:r>
    </w:p>
    <w:p>
      <w:pPr>
        <w:spacing w:before="60" w:after="120" w:line="276" w:lineRule="auto"/>
      </w:pPr>
      <w:r>
        <w:t xml:space="preserve">The </w:t>
      </w:r>
      <w:r>
        <w:rPr>
          <w:b/>
        </w:rPr>
        <w:t>BloomEngine</w:t>
      </w:r>
      <w:r>
        <w:t xml:space="preserve"> machine learning pipeline is supported by a comprehensive multi-dataset repository comprising 52,570 total records across eight dedicated file assets:</w:t>
      </w:r>
    </w:p>
    <w:p>
      <w:pPr>
        <w:pStyle w:val="ListNumber"/>
        <w:spacing w:before="40" w:after="40"/>
      </w:pPr>
      <w:r/>
      <w:r>
        <w:rPr>
          <w:b/>
        </w:rPr>
        <w:t>FLAN-T5 SFT Instruction Fine-Tuning Corpus (`Datasets/combined_cleaned.json`)</w:t>
      </w:r>
      <w:r>
        <w:t>: 21,004 supervised fine-tuning triplets (`instruction`, `input`, `output`) used exclusively for training the sequence-to-sequence question transformation generator.</w:t>
      </w:r>
    </w:p>
    <w:p>
      <w:pPr>
        <w:pStyle w:val="ListNumber"/>
        <w:spacing w:before="40" w:after="40"/>
      </w:pPr>
      <w:r/>
      <w:r>
        <w:rPr>
          <w:b/>
        </w:rPr>
        <w:t>DeBERTa-v3 Cognitive Classifier Dataset (`final_dataset_v2.xlsx`)</w:t>
      </w:r>
      <w:r>
        <w:t>: 31,310 domain-annotated assessment questions (`Question`, `Bloom_Level`, `Cognitive_Level_Number`, `Difficulty`) spanning core Computer Science domains (DBMS, Computer Networks, Operating Systems, Machine Learning, Artificial Intelligence).</w:t>
      </w:r>
    </w:p>
    <w:p>
      <w:pPr>
        <w:pStyle w:val="ListNumber"/>
        <w:spacing w:before="40" w:after="40"/>
      </w:pPr>
      <w:r/>
      <w:r>
        <w:rPr>
          <w:b/>
        </w:rPr>
        <w:t>Comprehensive Evaluation Benchmark (`benchmark_dataset.json`)</w:t>
      </w:r>
      <w:r>
        <w:t>: 300 curated questions (`question`, `expected_bloom`) for cross-validation.</w:t>
      </w:r>
    </w:p>
    <w:p>
      <w:pPr>
        <w:pStyle w:val="ListNumber"/>
        <w:spacing w:before="40" w:after="40"/>
      </w:pPr>
      <w:r/>
      <w:r>
        <w:rPr>
          <w:b/>
        </w:rPr>
        <w:t>Standardized 100-Item Benchmark Suite (`benchmark_dataset_100.json`)</w:t>
      </w:r>
      <w:r>
        <w:t>: 100 benchmark items (`question`, `expected_bloom`, `expected_difficulty`, `domain`, `topic`) used for automated evaluation and Playwright testing.</w:t>
      </w:r>
    </w:p>
    <w:p>
      <w:pPr>
        <w:pStyle w:val="ListNumber"/>
        <w:spacing w:before="40" w:after="40"/>
      </w:pPr>
      <w:r/>
      <w:r>
        <w:rPr>
          <w:b/>
        </w:rPr>
        <w:t>Human Expert Validation Dataset (`manual_review.csv`)</w:t>
      </w:r>
      <w:r>
        <w:t>: 100 review items containing qualitative reviewer scores, generation timing, and failure annotations.</w:t>
      </w:r>
    </w:p>
    <w:p>
      <w:pPr>
        <w:pStyle w:val="ListNumber"/>
        <w:spacing w:before="40" w:after="40"/>
      </w:pPr>
      <w:r/>
      <w:r>
        <w:rPr>
          <w:b/>
        </w:rPr>
        <w:t>Candidate Ranking Diagnostic Log (`candidate_ranking_log.json`)</w:t>
      </w:r>
      <w:r>
        <w:t>: 651 candidate generation records tracking individual 7-stage scores, confidence metrics, and rank selection logs.</w:t>
      </w:r>
    </w:p>
    <w:p>
      <w:pPr>
        <w:pStyle w:val="ListNumber"/>
        <w:spacing w:before="40" w:after="40"/>
      </w:pPr>
      <w:r/>
      <w:r>
        <w:rPr>
          <w:b/>
        </w:rPr>
        <w:t>FLAN-T5 Test Predictions Log (`flan_t5_model/model_predictions.csv`)</w:t>
      </w:r>
      <w:r>
        <w:t>: 100 evaluation outputs comparing ground-truth targets with model predictions.</w:t>
      </w:r>
    </w:p>
    <w:p>
      <w:pPr>
        <w:pStyle w:val="ListNumber"/>
        <w:spacing w:before="40" w:after="40"/>
      </w:pPr>
      <w:r/>
      <w:r>
        <w:rPr>
          <w:b/>
        </w:rPr>
        <w:t>Smoke-Testing Dataset (`benchmark_questions.csv`)</w:t>
      </w:r>
      <w:r>
        <w:t>: 5 lightweight test cases for REST API route verification.</w:t>
      </w:r>
    </w:p>
    <w:p>
      <w:pPr>
        <w:spacing w:before="60" w:after="120" w:line="276" w:lineRule="auto"/>
      </w:pPr>
      <w:r/>
      <w:r>
        <w:rPr>
          <w:i/>
          <w:color w:val="555555"/>
        </w:rPr>
        <w:t>Table 5.1: Empirical Dataset Summary Across Repository Files.</w:t>
      </w:r>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20" w:type="dxa"/>
              <w:bottom w:w="120" w:type="dxa"/>
              <w:left w:w="150" w:type="dxa"/>
              <w:right w:w="150" w:type="dxa"/>
            </w:tcMar>
            <w:shd w:fill="1F4E78"/>
          </w:tcPr>
          <w:p>
            <w:pPr>
              <w:spacing w:before="60" w:after="60"/>
            </w:pPr>
            <w:r>
              <w:rPr>
                <w:b/>
                <w:color w:val="FFFFFF"/>
                <w:sz w:val="20"/>
              </w:rPr>
              <w:t>Dataset File Name</w:t>
            </w:r>
          </w:p>
        </w:tc>
        <w:tc>
          <w:tcPr>
            <w:tcW w:type="dxa" w:w="1560"/>
            <w:tcMar>
              <w:top w:w="120" w:type="dxa"/>
              <w:bottom w:w="120" w:type="dxa"/>
              <w:left w:w="150" w:type="dxa"/>
              <w:right w:w="150" w:type="dxa"/>
            </w:tcMar>
            <w:shd w:fill="1F4E78"/>
          </w:tcPr>
          <w:p>
            <w:pPr>
              <w:spacing w:before="60" w:after="60"/>
            </w:pPr>
            <w:r>
              <w:rPr>
                <w:b/>
                <w:color w:val="FFFFFF"/>
                <w:sz w:val="20"/>
              </w:rPr>
              <w:t>Format</w:t>
            </w:r>
          </w:p>
        </w:tc>
        <w:tc>
          <w:tcPr>
            <w:tcW w:type="dxa" w:w="1560"/>
            <w:tcMar>
              <w:top w:w="120" w:type="dxa"/>
              <w:bottom w:w="120" w:type="dxa"/>
              <w:left w:w="150" w:type="dxa"/>
              <w:right w:w="150" w:type="dxa"/>
            </w:tcMar>
            <w:shd w:fill="1F4E78"/>
          </w:tcPr>
          <w:p>
            <w:pPr>
              <w:spacing w:before="60" w:after="60"/>
            </w:pPr>
            <w:r>
              <w:rPr>
                <w:b/>
                <w:color w:val="FFFFFF"/>
                <w:sz w:val="20"/>
              </w:rPr>
              <w:t>Record Count</w:t>
            </w:r>
          </w:p>
        </w:tc>
        <w:tc>
          <w:tcPr>
            <w:tcW w:type="dxa" w:w="1560"/>
            <w:tcMar>
              <w:top w:w="120" w:type="dxa"/>
              <w:bottom w:w="120" w:type="dxa"/>
              <w:left w:w="150" w:type="dxa"/>
              <w:right w:w="150" w:type="dxa"/>
            </w:tcMar>
            <w:shd w:fill="1F4E78"/>
          </w:tcPr>
          <w:p>
            <w:pPr>
              <w:spacing w:before="60" w:after="60"/>
            </w:pPr>
            <w:r>
              <w:rPr>
                <w:b/>
                <w:color w:val="FFFFFF"/>
                <w:sz w:val="20"/>
              </w:rPr>
              <w:t>File Size</w:t>
            </w:r>
          </w:p>
        </w:tc>
        <w:tc>
          <w:tcPr>
            <w:tcW w:type="dxa" w:w="1560"/>
            <w:tcMar>
              <w:top w:w="120" w:type="dxa"/>
              <w:bottom w:w="120" w:type="dxa"/>
              <w:left w:w="150" w:type="dxa"/>
              <w:right w:w="150" w:type="dxa"/>
            </w:tcMar>
            <w:shd w:fill="1F4E78"/>
          </w:tcPr>
          <w:p>
            <w:pPr>
              <w:spacing w:before="60" w:after="60"/>
            </w:pPr>
            <w:r>
              <w:rPr>
                <w:b/>
                <w:color w:val="FFFFFF"/>
                <w:sz w:val="20"/>
              </w:rPr>
              <w:t>Primary Fields / Columns</w:t>
            </w:r>
          </w:p>
        </w:tc>
        <w:tc>
          <w:tcPr>
            <w:tcW w:type="dxa" w:w="1560"/>
            <w:tcMar>
              <w:top w:w="120" w:type="dxa"/>
              <w:bottom w:w="120" w:type="dxa"/>
              <w:left w:w="150" w:type="dxa"/>
              <w:right w:w="150" w:type="dxa"/>
            </w:tcMar>
            <w:shd w:fill="1F4E78"/>
          </w:tcPr>
          <w:p>
            <w:pPr>
              <w:spacing w:before="60" w:after="60"/>
            </w:pPr>
            <w:r>
              <w:rPr>
                <w:b/>
                <w:color w:val="FFFFFF"/>
                <w:sz w:val="20"/>
              </w:rPr>
              <w:t>Primary Application Task</w:t>
            </w:r>
          </w:p>
        </w:tc>
      </w:tr>
      <w:tr>
        <w:tc>
          <w:tcPr>
            <w:tcW w:type="dxa" w:w="1560"/>
            <w:tcMar>
              <w:top w:w="120" w:type="dxa"/>
              <w:bottom w:w="120" w:type="dxa"/>
              <w:left w:w="150" w:type="dxa"/>
              <w:right w:w="150" w:type="dxa"/>
            </w:tcMar>
            <w:shd w:fill="F2F4F8"/>
          </w:tcPr>
          <w:p>
            <w:pPr>
              <w:spacing w:before="60" w:after="60"/>
            </w:pPr>
            <w:r>
              <w:rPr>
                <w:sz w:val="19"/>
              </w:rPr>
              <w:t>**`combined_cleaned.json`**</w:t>
            </w:r>
          </w:p>
        </w:tc>
        <w:tc>
          <w:tcPr>
            <w:tcW w:type="dxa" w:w="1560"/>
            <w:tcMar>
              <w:top w:w="120" w:type="dxa"/>
              <w:bottom w:w="120" w:type="dxa"/>
              <w:left w:w="150" w:type="dxa"/>
              <w:right w:w="150" w:type="dxa"/>
            </w:tcMar>
            <w:shd w:fill="F2F4F8"/>
          </w:tcPr>
          <w:p>
            <w:pPr>
              <w:spacing w:before="60" w:after="60"/>
            </w:pPr>
            <w:r>
              <w:rPr>
                <w:sz w:val="19"/>
              </w:rPr>
              <w:t>JSON</w:t>
            </w:r>
          </w:p>
        </w:tc>
        <w:tc>
          <w:tcPr>
            <w:tcW w:type="dxa" w:w="1560"/>
            <w:tcMar>
              <w:top w:w="120" w:type="dxa"/>
              <w:bottom w:w="120" w:type="dxa"/>
              <w:left w:w="150" w:type="dxa"/>
              <w:right w:w="150" w:type="dxa"/>
            </w:tcMar>
            <w:shd w:fill="F2F4F8"/>
          </w:tcPr>
          <w:p>
            <w:pPr>
              <w:spacing w:before="60" w:after="60"/>
            </w:pPr>
            <w:r>
              <w:rPr>
                <w:sz w:val="19"/>
              </w:rPr>
              <w:t>**21,004**</w:t>
            </w:r>
          </w:p>
        </w:tc>
        <w:tc>
          <w:tcPr>
            <w:tcW w:type="dxa" w:w="1560"/>
            <w:tcMar>
              <w:top w:w="120" w:type="dxa"/>
              <w:bottom w:w="120" w:type="dxa"/>
              <w:left w:w="150" w:type="dxa"/>
              <w:right w:w="150" w:type="dxa"/>
            </w:tcMar>
            <w:shd w:fill="F2F4F8"/>
          </w:tcPr>
          <w:p>
            <w:pPr>
              <w:spacing w:before="60" w:after="60"/>
            </w:pPr>
            <w:r>
              <w:rPr>
                <w:sz w:val="19"/>
              </w:rPr>
              <w:t>11.80 MB</w:t>
            </w:r>
          </w:p>
        </w:tc>
        <w:tc>
          <w:tcPr>
            <w:tcW w:type="dxa" w:w="1560"/>
            <w:tcMar>
              <w:top w:w="120" w:type="dxa"/>
              <w:bottom w:w="120" w:type="dxa"/>
              <w:left w:w="150" w:type="dxa"/>
              <w:right w:w="150" w:type="dxa"/>
            </w:tcMar>
            <w:shd w:fill="F2F4F8"/>
          </w:tcPr>
          <w:p>
            <w:pPr>
              <w:spacing w:before="60" w:after="60"/>
            </w:pPr>
            <w:r>
              <w:rPr>
                <w:sz w:val="19"/>
              </w:rPr>
              <w:t>`instruction`, `input`, `output`</w:t>
            </w:r>
          </w:p>
        </w:tc>
        <w:tc>
          <w:tcPr>
            <w:tcW w:type="dxa" w:w="1560"/>
            <w:tcMar>
              <w:top w:w="120" w:type="dxa"/>
              <w:bottom w:w="120" w:type="dxa"/>
              <w:left w:w="150" w:type="dxa"/>
              <w:right w:w="150" w:type="dxa"/>
            </w:tcMar>
            <w:shd w:fill="F2F4F8"/>
          </w:tcPr>
          <w:p>
            <w:pPr>
              <w:spacing w:before="60" w:after="60"/>
            </w:pPr>
            <w:r>
              <w:rPr>
                <w:sz w:val="19"/>
              </w:rPr>
              <w:t>FLAN-T5 Seq2Seq SFT Generation</w:t>
            </w:r>
          </w:p>
        </w:tc>
      </w:tr>
      <w:tr>
        <w:tc>
          <w:tcPr>
            <w:tcW w:type="dxa" w:w="1560"/>
            <w:tcMar>
              <w:top w:w="120" w:type="dxa"/>
              <w:bottom w:w="120" w:type="dxa"/>
              <w:left w:w="150" w:type="dxa"/>
              <w:right w:w="150" w:type="dxa"/>
            </w:tcMar>
            <w:shd w:fill="FFFFFF"/>
          </w:tcPr>
          <w:p>
            <w:pPr>
              <w:spacing w:before="60" w:after="60"/>
            </w:pPr>
            <w:r>
              <w:rPr>
                <w:sz w:val="19"/>
              </w:rPr>
              <w:t>**`final_dataset_v2.xlsx`**</w:t>
            </w:r>
          </w:p>
        </w:tc>
        <w:tc>
          <w:tcPr>
            <w:tcW w:type="dxa" w:w="1560"/>
            <w:tcMar>
              <w:top w:w="120" w:type="dxa"/>
              <w:bottom w:w="120" w:type="dxa"/>
              <w:left w:w="150" w:type="dxa"/>
              <w:right w:w="150" w:type="dxa"/>
            </w:tcMar>
            <w:shd w:fill="FFFFFF"/>
          </w:tcPr>
          <w:p>
            <w:pPr>
              <w:spacing w:before="60" w:after="60"/>
            </w:pPr>
            <w:r>
              <w:rPr>
                <w:sz w:val="19"/>
              </w:rPr>
              <w:t>XLSX</w:t>
            </w:r>
          </w:p>
        </w:tc>
        <w:tc>
          <w:tcPr>
            <w:tcW w:type="dxa" w:w="1560"/>
            <w:tcMar>
              <w:top w:w="120" w:type="dxa"/>
              <w:bottom w:w="120" w:type="dxa"/>
              <w:left w:w="150" w:type="dxa"/>
              <w:right w:w="150" w:type="dxa"/>
            </w:tcMar>
            <w:shd w:fill="FFFFFF"/>
          </w:tcPr>
          <w:p>
            <w:pPr>
              <w:spacing w:before="60" w:after="60"/>
            </w:pPr>
            <w:r>
              <w:rPr>
                <w:sz w:val="19"/>
              </w:rPr>
              <w:t>**31,310**</w:t>
            </w:r>
          </w:p>
        </w:tc>
        <w:tc>
          <w:tcPr>
            <w:tcW w:type="dxa" w:w="1560"/>
            <w:tcMar>
              <w:top w:w="120" w:type="dxa"/>
              <w:bottom w:w="120" w:type="dxa"/>
              <w:left w:w="150" w:type="dxa"/>
              <w:right w:w="150" w:type="dxa"/>
            </w:tcMar>
            <w:shd w:fill="FFFFFF"/>
          </w:tcPr>
          <w:p>
            <w:pPr>
              <w:spacing w:before="60" w:after="60"/>
            </w:pPr>
            <w:r>
              <w:rPr>
                <w:sz w:val="19"/>
              </w:rPr>
              <w:t>1.40 MB</w:t>
            </w:r>
          </w:p>
        </w:tc>
        <w:tc>
          <w:tcPr>
            <w:tcW w:type="dxa" w:w="1560"/>
            <w:tcMar>
              <w:top w:w="120" w:type="dxa"/>
              <w:bottom w:w="120" w:type="dxa"/>
              <w:left w:w="150" w:type="dxa"/>
              <w:right w:w="150" w:type="dxa"/>
            </w:tcMar>
            <w:shd w:fill="FFFFFF"/>
          </w:tcPr>
          <w:p>
            <w:pPr>
              <w:spacing w:before="60" w:after="60"/>
            </w:pPr>
            <w:r>
              <w:rPr>
                <w:sz w:val="19"/>
              </w:rPr>
              <w:t>`Question`, `Bloom_Level`, `Cognitive_Level_Number`, `Difficulty`</w:t>
            </w:r>
          </w:p>
        </w:tc>
        <w:tc>
          <w:tcPr>
            <w:tcW w:type="dxa" w:w="1560"/>
            <w:tcMar>
              <w:top w:w="120" w:type="dxa"/>
              <w:bottom w:w="120" w:type="dxa"/>
              <w:left w:w="150" w:type="dxa"/>
              <w:right w:w="150" w:type="dxa"/>
            </w:tcMar>
            <w:shd w:fill="FFFFFF"/>
          </w:tcPr>
          <w:p>
            <w:pPr>
              <w:spacing w:before="60" w:after="60"/>
            </w:pPr>
            <w:r>
              <w:rPr>
                <w:sz w:val="19"/>
              </w:rPr>
              <w:t>DeBERTa-v3 6-Class Classification</w:t>
            </w:r>
          </w:p>
        </w:tc>
      </w:tr>
      <w:tr>
        <w:tc>
          <w:tcPr>
            <w:tcW w:type="dxa" w:w="1560"/>
            <w:tcMar>
              <w:top w:w="120" w:type="dxa"/>
              <w:bottom w:w="120" w:type="dxa"/>
              <w:left w:w="150" w:type="dxa"/>
              <w:right w:w="150" w:type="dxa"/>
            </w:tcMar>
            <w:shd w:fill="F2F4F8"/>
          </w:tcPr>
          <w:p>
            <w:pPr>
              <w:spacing w:before="60" w:after="60"/>
            </w:pPr>
            <w:r>
              <w:rPr>
                <w:sz w:val="19"/>
              </w:rPr>
              <w:t>**`benchmark_dataset.json`**</w:t>
            </w:r>
          </w:p>
        </w:tc>
        <w:tc>
          <w:tcPr>
            <w:tcW w:type="dxa" w:w="1560"/>
            <w:tcMar>
              <w:top w:w="120" w:type="dxa"/>
              <w:bottom w:w="120" w:type="dxa"/>
              <w:left w:w="150" w:type="dxa"/>
              <w:right w:w="150" w:type="dxa"/>
            </w:tcMar>
            <w:shd w:fill="F2F4F8"/>
          </w:tcPr>
          <w:p>
            <w:pPr>
              <w:spacing w:before="60" w:after="60"/>
            </w:pPr>
            <w:r>
              <w:rPr>
                <w:sz w:val="19"/>
              </w:rPr>
              <w:t>JSON</w:t>
            </w:r>
          </w:p>
        </w:tc>
        <w:tc>
          <w:tcPr>
            <w:tcW w:type="dxa" w:w="1560"/>
            <w:tcMar>
              <w:top w:w="120" w:type="dxa"/>
              <w:bottom w:w="120" w:type="dxa"/>
              <w:left w:w="150" w:type="dxa"/>
              <w:right w:w="150" w:type="dxa"/>
            </w:tcMar>
            <w:shd w:fill="F2F4F8"/>
          </w:tcPr>
          <w:p>
            <w:pPr>
              <w:spacing w:before="60" w:after="60"/>
            </w:pPr>
            <w:r>
              <w:rPr>
                <w:sz w:val="19"/>
              </w:rPr>
              <w:t>**300**</w:t>
            </w:r>
          </w:p>
        </w:tc>
        <w:tc>
          <w:tcPr>
            <w:tcW w:type="dxa" w:w="1560"/>
            <w:tcMar>
              <w:top w:w="120" w:type="dxa"/>
              <w:bottom w:w="120" w:type="dxa"/>
              <w:left w:w="150" w:type="dxa"/>
              <w:right w:w="150" w:type="dxa"/>
            </w:tcMar>
            <w:shd w:fill="F2F4F8"/>
          </w:tcPr>
          <w:p>
            <w:pPr>
              <w:spacing w:before="60" w:after="60"/>
            </w:pPr>
            <w:r>
              <w:rPr>
                <w:sz w:val="19"/>
              </w:rPr>
              <w:t>0.043 MB</w:t>
            </w:r>
          </w:p>
        </w:tc>
        <w:tc>
          <w:tcPr>
            <w:tcW w:type="dxa" w:w="1560"/>
            <w:tcMar>
              <w:top w:w="120" w:type="dxa"/>
              <w:bottom w:w="120" w:type="dxa"/>
              <w:left w:w="150" w:type="dxa"/>
              <w:right w:w="150" w:type="dxa"/>
            </w:tcMar>
            <w:shd w:fill="F2F4F8"/>
          </w:tcPr>
          <w:p>
            <w:pPr>
              <w:spacing w:before="60" w:after="60"/>
            </w:pPr>
            <w:r>
              <w:rPr>
                <w:sz w:val="19"/>
              </w:rPr>
              <w:t>`question`, `expected_bloom`</w:t>
            </w:r>
          </w:p>
        </w:tc>
        <w:tc>
          <w:tcPr>
            <w:tcW w:type="dxa" w:w="1560"/>
            <w:tcMar>
              <w:top w:w="120" w:type="dxa"/>
              <w:bottom w:w="120" w:type="dxa"/>
              <w:left w:w="150" w:type="dxa"/>
              <w:right w:w="150" w:type="dxa"/>
            </w:tcMar>
            <w:shd w:fill="F2F4F8"/>
          </w:tcPr>
          <w:p>
            <w:pPr>
              <w:spacing w:before="60" w:after="60"/>
            </w:pPr>
            <w:r>
              <w:rPr>
                <w:sz w:val="19"/>
              </w:rPr>
              <w:t>Comprehensive Pipeline Validation</w:t>
            </w:r>
          </w:p>
        </w:tc>
      </w:tr>
      <w:tr>
        <w:tc>
          <w:tcPr>
            <w:tcW w:type="dxa" w:w="1560"/>
            <w:tcMar>
              <w:top w:w="120" w:type="dxa"/>
              <w:bottom w:w="120" w:type="dxa"/>
              <w:left w:w="150" w:type="dxa"/>
              <w:right w:w="150" w:type="dxa"/>
            </w:tcMar>
            <w:shd w:fill="FFFFFF"/>
          </w:tcPr>
          <w:p>
            <w:pPr>
              <w:spacing w:before="60" w:after="60"/>
            </w:pPr>
            <w:r>
              <w:rPr>
                <w:sz w:val="19"/>
              </w:rPr>
              <w:t>**`benchmark_dataset_100.json`**</w:t>
            </w:r>
          </w:p>
        </w:tc>
        <w:tc>
          <w:tcPr>
            <w:tcW w:type="dxa" w:w="1560"/>
            <w:tcMar>
              <w:top w:w="120" w:type="dxa"/>
              <w:bottom w:w="120" w:type="dxa"/>
              <w:left w:w="150" w:type="dxa"/>
              <w:right w:w="150" w:type="dxa"/>
            </w:tcMar>
            <w:shd w:fill="FFFFFF"/>
          </w:tcPr>
          <w:p>
            <w:pPr>
              <w:spacing w:before="60" w:after="60"/>
            </w:pPr>
            <w:r>
              <w:rPr>
                <w:sz w:val="19"/>
              </w:rPr>
              <w:t>JSON</w:t>
            </w:r>
          </w:p>
        </w:tc>
        <w:tc>
          <w:tcPr>
            <w:tcW w:type="dxa" w:w="1560"/>
            <w:tcMar>
              <w:top w:w="120" w:type="dxa"/>
              <w:bottom w:w="120" w:type="dxa"/>
              <w:left w:w="150" w:type="dxa"/>
              <w:right w:w="150" w:type="dxa"/>
            </w:tcMar>
            <w:shd w:fill="FFFFFF"/>
          </w:tcPr>
          <w:p>
            <w:pPr>
              <w:spacing w:before="60" w:after="60"/>
            </w:pPr>
            <w:r>
              <w:rPr>
                <w:sz w:val="19"/>
              </w:rPr>
              <w:t>**100**</w:t>
            </w:r>
          </w:p>
        </w:tc>
        <w:tc>
          <w:tcPr>
            <w:tcW w:type="dxa" w:w="1560"/>
            <w:tcMar>
              <w:top w:w="120" w:type="dxa"/>
              <w:bottom w:w="120" w:type="dxa"/>
              <w:left w:w="150" w:type="dxa"/>
              <w:right w:w="150" w:type="dxa"/>
            </w:tcMar>
            <w:shd w:fill="FFFFFF"/>
          </w:tcPr>
          <w:p>
            <w:pPr>
              <w:spacing w:before="60" w:after="60"/>
            </w:pPr>
            <w:r>
              <w:rPr>
                <w:sz w:val="19"/>
              </w:rPr>
              <w:t>0.027 MB</w:t>
            </w:r>
          </w:p>
        </w:tc>
        <w:tc>
          <w:tcPr>
            <w:tcW w:type="dxa" w:w="1560"/>
            <w:tcMar>
              <w:top w:w="120" w:type="dxa"/>
              <w:bottom w:w="120" w:type="dxa"/>
              <w:left w:w="150" w:type="dxa"/>
              <w:right w:w="150" w:type="dxa"/>
            </w:tcMar>
            <w:shd w:fill="FFFFFF"/>
          </w:tcPr>
          <w:p>
            <w:pPr>
              <w:spacing w:before="60" w:after="60"/>
            </w:pPr>
            <w:r>
              <w:rPr>
                <w:sz w:val="19"/>
              </w:rPr>
              <w:t>`question`, `expected_bloom`, `expected_difficulty`, `domain`, `topic`</w:t>
            </w:r>
          </w:p>
        </w:tc>
        <w:tc>
          <w:tcPr>
            <w:tcW w:type="dxa" w:w="1560"/>
            <w:tcMar>
              <w:top w:w="120" w:type="dxa"/>
              <w:bottom w:w="120" w:type="dxa"/>
              <w:left w:w="150" w:type="dxa"/>
              <w:right w:w="150" w:type="dxa"/>
            </w:tcMar>
            <w:shd w:fill="FFFFFF"/>
          </w:tcPr>
          <w:p>
            <w:pPr>
              <w:spacing w:before="60" w:after="60"/>
            </w:pPr>
            <w:r>
              <w:rPr>
                <w:sz w:val="19"/>
              </w:rPr>
              <w:t>Benchmark Alignment &amp; Testing</w:t>
            </w:r>
          </w:p>
        </w:tc>
      </w:tr>
      <w:tr>
        <w:tc>
          <w:tcPr>
            <w:tcW w:type="dxa" w:w="1560"/>
            <w:tcMar>
              <w:top w:w="120" w:type="dxa"/>
              <w:bottom w:w="120" w:type="dxa"/>
              <w:left w:w="150" w:type="dxa"/>
              <w:right w:w="150" w:type="dxa"/>
            </w:tcMar>
            <w:shd w:fill="F2F4F8"/>
          </w:tcPr>
          <w:p>
            <w:pPr>
              <w:spacing w:before="60" w:after="60"/>
            </w:pPr>
            <w:r>
              <w:rPr>
                <w:sz w:val="19"/>
              </w:rPr>
              <w:t>**`manual_review.csv`**</w:t>
            </w:r>
          </w:p>
        </w:tc>
        <w:tc>
          <w:tcPr>
            <w:tcW w:type="dxa" w:w="1560"/>
            <w:tcMar>
              <w:top w:w="120" w:type="dxa"/>
              <w:bottom w:w="120" w:type="dxa"/>
              <w:left w:w="150" w:type="dxa"/>
              <w:right w:w="150" w:type="dxa"/>
            </w:tcMar>
            <w:shd w:fill="F2F4F8"/>
          </w:tcPr>
          <w:p>
            <w:pPr>
              <w:spacing w:before="60" w:after="60"/>
            </w:pPr>
            <w:r>
              <w:rPr>
                <w:sz w:val="19"/>
              </w:rPr>
              <w:t>CSV</w:t>
            </w:r>
          </w:p>
        </w:tc>
        <w:tc>
          <w:tcPr>
            <w:tcW w:type="dxa" w:w="1560"/>
            <w:tcMar>
              <w:top w:w="120" w:type="dxa"/>
              <w:bottom w:w="120" w:type="dxa"/>
              <w:left w:w="150" w:type="dxa"/>
              <w:right w:w="150" w:type="dxa"/>
            </w:tcMar>
            <w:shd w:fill="F2F4F8"/>
          </w:tcPr>
          <w:p>
            <w:pPr>
              <w:spacing w:before="60" w:after="60"/>
            </w:pPr>
            <w:r>
              <w:rPr>
                <w:sz w:val="19"/>
              </w:rPr>
              <w:t>**100**</w:t>
            </w:r>
          </w:p>
        </w:tc>
        <w:tc>
          <w:tcPr>
            <w:tcW w:type="dxa" w:w="1560"/>
            <w:tcMar>
              <w:top w:w="120" w:type="dxa"/>
              <w:bottom w:w="120" w:type="dxa"/>
              <w:left w:w="150" w:type="dxa"/>
              <w:right w:w="150" w:type="dxa"/>
            </w:tcMar>
            <w:shd w:fill="F2F4F8"/>
          </w:tcPr>
          <w:p>
            <w:pPr>
              <w:spacing w:before="60" w:after="60"/>
            </w:pPr>
            <w:r>
              <w:rPr>
                <w:sz w:val="19"/>
              </w:rPr>
              <w:t>0.030 MB</w:t>
            </w:r>
          </w:p>
        </w:tc>
        <w:tc>
          <w:tcPr>
            <w:tcW w:type="dxa" w:w="1560"/>
            <w:tcMar>
              <w:top w:w="120" w:type="dxa"/>
              <w:bottom w:w="120" w:type="dxa"/>
              <w:left w:w="150" w:type="dxa"/>
              <w:right w:w="150" w:type="dxa"/>
            </w:tcMar>
            <w:shd w:fill="F2F4F8"/>
          </w:tcPr>
          <w:p>
            <w:pPr>
              <w:spacing w:before="60" w:after="60"/>
            </w:pPr>
            <w:r>
              <w:rPr>
                <w:sz w:val="19"/>
              </w:rPr>
              <w:t>`Original Question`, `Generated Question`, `Source Bloom`, `Target Bloom`, `Confidence`</w:t>
            </w:r>
          </w:p>
        </w:tc>
        <w:tc>
          <w:tcPr>
            <w:tcW w:type="dxa" w:w="1560"/>
            <w:tcMar>
              <w:top w:w="120" w:type="dxa"/>
              <w:bottom w:w="120" w:type="dxa"/>
              <w:left w:w="150" w:type="dxa"/>
              <w:right w:w="150" w:type="dxa"/>
            </w:tcMar>
            <w:shd w:fill="F2F4F8"/>
          </w:tcPr>
          <w:p>
            <w:pPr>
              <w:spacing w:before="60" w:after="60"/>
            </w:pPr>
            <w:r>
              <w:rPr>
                <w:sz w:val="19"/>
              </w:rPr>
              <w:t>Expert Quality &amp; Error Audit</w:t>
            </w:r>
          </w:p>
        </w:tc>
      </w:tr>
      <w:tr>
        <w:tc>
          <w:tcPr>
            <w:tcW w:type="dxa" w:w="1560"/>
            <w:tcMar>
              <w:top w:w="120" w:type="dxa"/>
              <w:bottom w:w="120" w:type="dxa"/>
              <w:left w:w="150" w:type="dxa"/>
              <w:right w:w="150" w:type="dxa"/>
            </w:tcMar>
            <w:shd w:fill="FFFFFF"/>
          </w:tcPr>
          <w:p>
            <w:pPr>
              <w:spacing w:before="60" w:after="60"/>
            </w:pPr>
            <w:r>
              <w:rPr>
                <w:sz w:val="19"/>
              </w:rPr>
              <w:t>**`candidate_ranking_log.json`**</w:t>
            </w:r>
          </w:p>
        </w:tc>
        <w:tc>
          <w:tcPr>
            <w:tcW w:type="dxa" w:w="1560"/>
            <w:tcMar>
              <w:top w:w="120" w:type="dxa"/>
              <w:bottom w:w="120" w:type="dxa"/>
              <w:left w:w="150" w:type="dxa"/>
              <w:right w:w="150" w:type="dxa"/>
            </w:tcMar>
            <w:shd w:fill="FFFFFF"/>
          </w:tcPr>
          <w:p>
            <w:pPr>
              <w:spacing w:before="60" w:after="60"/>
            </w:pPr>
            <w:r>
              <w:rPr>
                <w:sz w:val="19"/>
              </w:rPr>
              <w:t>JSON</w:t>
            </w:r>
          </w:p>
        </w:tc>
        <w:tc>
          <w:tcPr>
            <w:tcW w:type="dxa" w:w="1560"/>
            <w:tcMar>
              <w:top w:w="120" w:type="dxa"/>
              <w:bottom w:w="120" w:type="dxa"/>
              <w:left w:w="150" w:type="dxa"/>
              <w:right w:w="150" w:type="dxa"/>
            </w:tcMar>
            <w:shd w:fill="FFFFFF"/>
          </w:tcPr>
          <w:p>
            <w:pPr>
              <w:spacing w:before="60" w:after="60"/>
            </w:pPr>
            <w:r>
              <w:rPr>
                <w:sz w:val="19"/>
              </w:rPr>
              <w:t>**651**</w:t>
            </w:r>
          </w:p>
        </w:tc>
        <w:tc>
          <w:tcPr>
            <w:tcW w:type="dxa" w:w="1560"/>
            <w:tcMar>
              <w:top w:w="120" w:type="dxa"/>
              <w:bottom w:w="120" w:type="dxa"/>
              <w:left w:w="150" w:type="dxa"/>
              <w:right w:w="150" w:type="dxa"/>
            </w:tcMar>
            <w:shd w:fill="FFFFFF"/>
          </w:tcPr>
          <w:p>
            <w:pPr>
              <w:spacing w:before="60" w:after="60"/>
            </w:pPr>
            <w:r>
              <w:rPr>
                <w:sz w:val="19"/>
              </w:rPr>
              <w:t>0.315 MB</w:t>
            </w:r>
          </w:p>
        </w:tc>
        <w:tc>
          <w:tcPr>
            <w:tcW w:type="dxa" w:w="1560"/>
            <w:tcMar>
              <w:top w:w="120" w:type="dxa"/>
              <w:bottom w:w="120" w:type="dxa"/>
              <w:left w:w="150" w:type="dxa"/>
              <w:right w:w="150" w:type="dxa"/>
            </w:tcMar>
            <w:shd w:fill="FFFFFF"/>
          </w:tcPr>
          <w:p>
            <w:pPr>
              <w:spacing w:before="60" w:after="60"/>
            </w:pPr>
            <w:r>
              <w:rPr>
                <w:sz w:val="19"/>
              </w:rPr>
              <w:t>`Candidate ID`, `Question`, `Bloom Prediction`, `Validation Status`, `Rank Score`</w:t>
            </w:r>
          </w:p>
        </w:tc>
        <w:tc>
          <w:tcPr>
            <w:tcW w:type="dxa" w:w="1560"/>
            <w:tcMar>
              <w:top w:w="120" w:type="dxa"/>
              <w:bottom w:w="120" w:type="dxa"/>
              <w:left w:w="150" w:type="dxa"/>
              <w:right w:w="150" w:type="dxa"/>
            </w:tcMar>
            <w:shd w:fill="FFFFFF"/>
          </w:tcPr>
          <w:p>
            <w:pPr>
              <w:spacing w:before="60" w:after="60"/>
            </w:pPr>
            <w:r>
              <w:rPr>
                <w:sz w:val="19"/>
              </w:rPr>
              <w:t>Runtime Candidate Scoring Audit</w:t>
            </w:r>
          </w:p>
        </w:tc>
      </w:tr>
      <w:tr>
        <w:tc>
          <w:tcPr>
            <w:tcW w:type="dxa" w:w="1560"/>
            <w:tcMar>
              <w:top w:w="120" w:type="dxa"/>
              <w:bottom w:w="120" w:type="dxa"/>
              <w:left w:w="150" w:type="dxa"/>
              <w:right w:w="150" w:type="dxa"/>
            </w:tcMar>
            <w:shd w:fill="F2F4F8"/>
          </w:tcPr>
          <w:p>
            <w:pPr>
              <w:spacing w:before="60" w:after="60"/>
            </w:pPr>
            <w:r>
              <w:rPr>
                <w:sz w:val="19"/>
              </w:rPr>
              <w:t>**`model_predictions.csv`**</w:t>
            </w:r>
          </w:p>
        </w:tc>
        <w:tc>
          <w:tcPr>
            <w:tcW w:type="dxa" w:w="1560"/>
            <w:tcMar>
              <w:top w:w="120" w:type="dxa"/>
              <w:bottom w:w="120" w:type="dxa"/>
              <w:left w:w="150" w:type="dxa"/>
              <w:right w:w="150" w:type="dxa"/>
            </w:tcMar>
            <w:shd w:fill="F2F4F8"/>
          </w:tcPr>
          <w:p>
            <w:pPr>
              <w:spacing w:before="60" w:after="60"/>
            </w:pPr>
            <w:r>
              <w:rPr>
                <w:sz w:val="19"/>
              </w:rPr>
              <w:t>CSV</w:t>
            </w:r>
          </w:p>
        </w:tc>
        <w:tc>
          <w:tcPr>
            <w:tcW w:type="dxa" w:w="1560"/>
            <w:tcMar>
              <w:top w:w="120" w:type="dxa"/>
              <w:bottom w:w="120" w:type="dxa"/>
              <w:left w:w="150" w:type="dxa"/>
              <w:right w:w="150" w:type="dxa"/>
            </w:tcMar>
            <w:shd w:fill="F2F4F8"/>
          </w:tcPr>
          <w:p>
            <w:pPr>
              <w:spacing w:before="60" w:after="60"/>
            </w:pPr>
            <w:r>
              <w:rPr>
                <w:sz w:val="19"/>
              </w:rPr>
              <w:t>**100**</w:t>
            </w:r>
          </w:p>
        </w:tc>
        <w:tc>
          <w:tcPr>
            <w:tcW w:type="dxa" w:w="1560"/>
            <w:tcMar>
              <w:top w:w="120" w:type="dxa"/>
              <w:bottom w:w="120" w:type="dxa"/>
              <w:left w:w="150" w:type="dxa"/>
              <w:right w:w="150" w:type="dxa"/>
            </w:tcMar>
            <w:shd w:fill="F2F4F8"/>
          </w:tcPr>
          <w:p>
            <w:pPr>
              <w:spacing w:before="60" w:after="60"/>
            </w:pPr>
            <w:r>
              <w:rPr>
                <w:sz w:val="19"/>
              </w:rPr>
              <w:t>0.037 MB</w:t>
            </w:r>
          </w:p>
        </w:tc>
        <w:tc>
          <w:tcPr>
            <w:tcW w:type="dxa" w:w="1560"/>
            <w:tcMar>
              <w:top w:w="120" w:type="dxa"/>
              <w:bottom w:w="120" w:type="dxa"/>
              <w:left w:w="150" w:type="dxa"/>
              <w:right w:w="150" w:type="dxa"/>
            </w:tcMar>
            <w:shd w:fill="F2F4F8"/>
          </w:tcPr>
          <w:p>
            <w:pPr>
              <w:spacing w:before="60" w:after="60"/>
            </w:pPr>
            <w:r>
              <w:rPr>
                <w:sz w:val="19"/>
              </w:rPr>
              <w:t>`Input`, `Expected`, `Predicted`</w:t>
            </w:r>
          </w:p>
        </w:tc>
        <w:tc>
          <w:tcPr>
            <w:tcW w:type="dxa" w:w="1560"/>
            <w:tcMar>
              <w:top w:w="120" w:type="dxa"/>
              <w:bottom w:w="120" w:type="dxa"/>
              <w:left w:w="150" w:type="dxa"/>
              <w:right w:w="150" w:type="dxa"/>
            </w:tcMar>
            <w:shd w:fill="F2F4F8"/>
          </w:tcPr>
          <w:p>
            <w:pPr>
              <w:spacing w:before="60" w:after="60"/>
            </w:pPr>
            <w:r>
              <w:rPr>
                <w:sz w:val="19"/>
              </w:rPr>
              <w:t>Test Prediction &amp; BLEU Evaluation</w:t>
            </w:r>
          </w:p>
        </w:tc>
      </w:tr>
      <w:tr>
        <w:tc>
          <w:tcPr>
            <w:tcW w:type="dxa" w:w="1560"/>
            <w:tcMar>
              <w:top w:w="120" w:type="dxa"/>
              <w:bottom w:w="120" w:type="dxa"/>
              <w:left w:w="150" w:type="dxa"/>
              <w:right w:w="150" w:type="dxa"/>
            </w:tcMar>
            <w:shd w:fill="FFFFFF"/>
          </w:tcPr>
          <w:p>
            <w:pPr>
              <w:spacing w:before="60" w:after="60"/>
            </w:pPr>
            <w:r>
              <w:rPr>
                <w:sz w:val="19"/>
              </w:rPr>
              <w:t>**`benchmark_questions.csv`**</w:t>
            </w:r>
          </w:p>
        </w:tc>
        <w:tc>
          <w:tcPr>
            <w:tcW w:type="dxa" w:w="1560"/>
            <w:tcMar>
              <w:top w:w="120" w:type="dxa"/>
              <w:bottom w:w="120" w:type="dxa"/>
              <w:left w:w="150" w:type="dxa"/>
              <w:right w:w="150" w:type="dxa"/>
            </w:tcMar>
            <w:shd w:fill="FFFFFF"/>
          </w:tcPr>
          <w:p>
            <w:pPr>
              <w:spacing w:before="60" w:after="60"/>
            </w:pPr>
            <w:r>
              <w:rPr>
                <w:sz w:val="19"/>
              </w:rPr>
              <w:t>CSV</w:t>
            </w:r>
          </w:p>
        </w:tc>
        <w:tc>
          <w:tcPr>
            <w:tcW w:type="dxa" w:w="1560"/>
            <w:tcMar>
              <w:top w:w="120" w:type="dxa"/>
              <w:bottom w:w="120" w:type="dxa"/>
              <w:left w:w="150" w:type="dxa"/>
              <w:right w:w="150" w:type="dxa"/>
            </w:tcMar>
            <w:shd w:fill="FFFFFF"/>
          </w:tcPr>
          <w:p>
            <w:pPr>
              <w:spacing w:before="60" w:after="60"/>
            </w:pPr>
            <w:r>
              <w:rPr>
                <w:sz w:val="19"/>
              </w:rPr>
              <w:t>**5**</w:t>
            </w:r>
          </w:p>
        </w:tc>
        <w:tc>
          <w:tcPr>
            <w:tcW w:type="dxa" w:w="1560"/>
            <w:tcMar>
              <w:top w:w="120" w:type="dxa"/>
              <w:bottom w:w="120" w:type="dxa"/>
              <w:left w:w="150" w:type="dxa"/>
              <w:right w:w="150" w:type="dxa"/>
            </w:tcMar>
            <w:shd w:fill="FFFFFF"/>
          </w:tcPr>
          <w:p>
            <w:pPr>
              <w:spacing w:before="60" w:after="60"/>
            </w:pPr>
            <w:r>
              <w:rPr>
                <w:sz w:val="19"/>
              </w:rPr>
              <w:t>436 Bytes</w:t>
            </w:r>
          </w:p>
        </w:tc>
        <w:tc>
          <w:tcPr>
            <w:tcW w:type="dxa" w:w="1560"/>
            <w:tcMar>
              <w:top w:w="120" w:type="dxa"/>
              <w:bottom w:w="120" w:type="dxa"/>
              <w:left w:w="150" w:type="dxa"/>
              <w:right w:w="150" w:type="dxa"/>
            </w:tcMar>
            <w:shd w:fill="FFFFFF"/>
          </w:tcPr>
          <w:p>
            <w:pPr>
              <w:spacing w:before="60" w:after="60"/>
            </w:pPr>
            <w:r>
              <w:rPr>
                <w:sz w:val="19"/>
              </w:rPr>
              <w:t>`Question`</w:t>
            </w:r>
          </w:p>
        </w:tc>
        <w:tc>
          <w:tcPr>
            <w:tcW w:type="dxa" w:w="1560"/>
            <w:tcMar>
              <w:top w:w="120" w:type="dxa"/>
              <w:bottom w:w="120" w:type="dxa"/>
              <w:left w:w="150" w:type="dxa"/>
              <w:right w:w="150" w:type="dxa"/>
            </w:tcMar>
            <w:shd w:fill="FFFFFF"/>
          </w:tcPr>
          <w:p>
            <w:pPr>
              <w:spacing w:before="60" w:after="60"/>
            </w:pPr>
            <w:r>
              <w:rPr>
                <w:sz w:val="19"/>
              </w:rPr>
              <w:t>REST Endpoint Smoke Testing</w:t>
            </w:r>
          </w:p>
        </w:tc>
      </w:tr>
      <w:tr>
        <w:tc>
          <w:tcPr>
            <w:tcW w:type="dxa" w:w="1560"/>
            <w:tcMar>
              <w:top w:w="120" w:type="dxa"/>
              <w:bottom w:w="120" w:type="dxa"/>
              <w:left w:w="150" w:type="dxa"/>
              <w:right w:w="150" w:type="dxa"/>
            </w:tcMar>
            <w:shd w:fill="F2F4F8"/>
          </w:tcPr>
          <w:p>
            <w:pPr>
              <w:spacing w:before="60" w:after="60"/>
            </w:pPr>
            <w:r>
              <w:rPr>
                <w:sz w:val="19"/>
              </w:rPr>
              <w:t>**Total Corpus**</w:t>
            </w:r>
          </w:p>
        </w:tc>
        <w:tc>
          <w:tcPr>
            <w:tcW w:type="dxa" w:w="1560"/>
            <w:tcMar>
              <w:top w:w="120" w:type="dxa"/>
              <w:bottom w:w="120" w:type="dxa"/>
              <w:left w:w="150" w:type="dxa"/>
              <w:right w:w="150" w:type="dxa"/>
            </w:tcMar>
            <w:shd w:fill="F2F4F8"/>
          </w:tcPr>
          <w:p>
            <w:pPr>
              <w:spacing w:before="60" w:after="60"/>
            </w:pPr>
            <w:r>
              <w:rPr>
                <w:sz w:val="19"/>
              </w:rPr>
              <w:t>—</w:t>
            </w:r>
          </w:p>
        </w:tc>
        <w:tc>
          <w:tcPr>
            <w:tcW w:type="dxa" w:w="1560"/>
            <w:tcMar>
              <w:top w:w="120" w:type="dxa"/>
              <w:bottom w:w="120" w:type="dxa"/>
              <w:left w:w="150" w:type="dxa"/>
              <w:right w:w="150" w:type="dxa"/>
            </w:tcMar>
            <w:shd w:fill="F2F4F8"/>
          </w:tcPr>
          <w:p>
            <w:pPr>
              <w:spacing w:before="60" w:after="60"/>
            </w:pPr>
            <w:r>
              <w:rPr>
                <w:sz w:val="19"/>
              </w:rPr>
              <w:t>**53,570**</w:t>
            </w:r>
          </w:p>
        </w:tc>
        <w:tc>
          <w:tcPr>
            <w:tcW w:type="dxa" w:w="1560"/>
            <w:tcMar>
              <w:top w:w="120" w:type="dxa"/>
              <w:bottom w:w="120" w:type="dxa"/>
              <w:left w:w="150" w:type="dxa"/>
              <w:right w:w="150" w:type="dxa"/>
            </w:tcMar>
            <w:shd w:fill="F2F4F8"/>
          </w:tcPr>
          <w:p>
            <w:pPr>
              <w:spacing w:before="60" w:after="60"/>
            </w:pPr>
            <w:r>
              <w:rPr>
                <w:sz w:val="19"/>
              </w:rPr>
              <w:t>**~13.63 MB**</w:t>
            </w:r>
          </w:p>
        </w:tc>
        <w:tc>
          <w:tcPr>
            <w:tcW w:type="dxa" w:w="1560"/>
            <w:tcMar>
              <w:top w:w="120" w:type="dxa"/>
              <w:bottom w:w="120" w:type="dxa"/>
              <w:left w:w="150" w:type="dxa"/>
              <w:right w:w="150" w:type="dxa"/>
            </w:tcMar>
            <w:shd w:fill="F2F4F8"/>
          </w:tcPr>
          <w:p>
            <w:pPr>
              <w:spacing w:before="60" w:after="60"/>
            </w:pPr>
            <w:r>
              <w:rPr>
                <w:sz w:val="19"/>
              </w:rPr>
              <w:t>—</w:t>
            </w:r>
          </w:p>
        </w:tc>
        <w:tc>
          <w:tcPr>
            <w:tcW w:type="dxa" w:w="1560"/>
            <w:tcMar>
              <w:top w:w="120" w:type="dxa"/>
              <w:bottom w:w="120" w:type="dxa"/>
              <w:left w:w="150" w:type="dxa"/>
              <w:right w:w="150" w:type="dxa"/>
            </w:tcMar>
            <w:shd w:fill="F2F4F8"/>
          </w:tcPr>
          <w:p>
            <w:pPr>
              <w:spacing w:before="60" w:after="60"/>
            </w:pPr>
            <w:r>
              <w:rPr>
                <w:sz w:val="19"/>
              </w:rPr>
              <w:t>**Full Machine Learning Lifecycle**</w:t>
            </w:r>
          </w:p>
        </w:tc>
      </w:tr>
    </w:tbl>
    <w:p/>
    <w:p>
      <w:pPr>
        <w:keepNext/>
        <w:spacing w:before="280" w:after="120"/>
      </w:pPr>
      <w:r>
        <w:rPr>
          <w:rFonts w:ascii="Arial" w:hAnsi="Arial"/>
          <w:b/>
          <w:color w:val="2E75B6"/>
          <w:sz w:val="30"/>
        </w:rPr>
        <w:t>5.2 Data Profiling</w:t>
      </w:r>
    </w:p>
    <w:p>
      <w:pPr>
        <w:spacing w:before="60" w:after="120" w:line="276" w:lineRule="auto"/>
      </w:pPr>
      <w:r>
        <w:t>Data profiling across the 31,310-record classifier dataset (`final_dataset_v2.xlsx`) and 21,004-record seq2seq dataset (`combined_cleaned.json`) demonstrates high structural integrity:</w:t>
      </w:r>
    </w:p>
    <w:p>
      <w:pPr>
        <w:pStyle w:val="ListBullet"/>
        <w:spacing w:before="40" w:after="40"/>
      </w:pPr>
      <w:r/>
      <w:r>
        <w:rPr>
          <w:b/>
        </w:rPr>
        <w:t>Missing Value Rate</w:t>
      </w:r>
      <w:r>
        <w:t xml:space="preserve">: </w:t>
      </w:r>
      <w:r>
        <w:rPr>
          <w:b/>
        </w:rPr>
        <w:t>0.00% null values</w:t>
      </w:r>
      <w:r>
        <w:t xml:space="preserve"> across all mandatory fields (`Question`, `Bloom_Level`, `Cognitive_Level_Number`, `Difficulty`, `instruction`, `input`, `output`).</w:t>
      </w:r>
    </w:p>
    <w:p>
      <w:pPr>
        <w:pStyle w:val="ListBullet"/>
        <w:spacing w:before="40" w:after="40"/>
      </w:pPr>
      <w:r/>
      <w:r>
        <w:rPr>
          <w:b/>
        </w:rPr>
        <w:t>Exact Duplicate Rate</w:t>
      </w:r>
      <w:r>
        <w:t xml:space="preserve">: </w:t>
      </w:r>
      <w:r>
        <w:rPr>
          <w:b/>
        </w:rPr>
        <w:t>0.00% duplicates</w:t>
      </w:r>
      <w:r>
        <w:t xml:space="preserve"> in `final_dataset_v2.xlsx` (31,310 unique questions).</w:t>
      </w:r>
    </w:p>
    <w:p>
      <w:pPr>
        <w:pStyle w:val="ListBullet"/>
        <w:spacing w:before="40" w:after="40"/>
      </w:pPr>
      <w:r/>
      <w:r>
        <w:rPr>
          <w:b/>
        </w:rPr>
        <w:t>Data Leakage Control</w:t>
      </w:r>
      <w:r>
        <w:t xml:space="preserve">: String matching between the training set and `benchmark_dataset_100.json` confirmed </w:t>
      </w:r>
      <w:r>
        <w:rPr>
          <w:b/>
        </w:rPr>
        <w:t>0.00% overlap</w:t>
      </w:r>
      <w:r>
        <w:t>, preventing test evaluation bias.</w:t>
      </w:r>
    </w:p>
    <w:p>
      <w:pPr>
        <w:keepNext/>
        <w:spacing w:before="280" w:after="120"/>
      </w:pPr>
      <w:r>
        <w:rPr>
          <w:rFonts w:ascii="Arial" w:hAnsi="Arial"/>
          <w:b/>
          <w:color w:val="2E75B6"/>
          <w:sz w:val="30"/>
        </w:rPr>
        <w:t>5.3 Data Cleaning and Preprocessing</w:t>
      </w:r>
    </w:p>
    <w:p>
      <w:pPr>
        <w:spacing w:before="60" w:after="120" w:line="276" w:lineRule="auto"/>
      </w:pPr>
      <w:r>
        <w:t>Preprocessing involves a deterministic four-stage pipeline:</w:t>
      </w:r>
    </w:p>
    <w:p>
      <w:pPr>
        <w:pStyle w:val="ListNumber"/>
        <w:spacing w:before="40" w:after="40"/>
      </w:pPr>
      <w:r/>
      <w:r>
        <w:rPr>
          <w:b/>
        </w:rPr>
        <w:t>Lowercase &amp; ASCII Normalization</w:t>
      </w:r>
      <w:r>
        <w:t>: Stripping non-standard unicode characters and mapping all strings to standard ASCII text.</w:t>
      </w:r>
    </w:p>
    <w:p>
      <w:pPr>
        <w:pStyle w:val="ListNumber"/>
        <w:spacing w:before="40" w:after="40"/>
      </w:pPr>
      <w:r/>
      <w:r>
        <w:rPr>
          <w:b/>
        </w:rPr>
        <w:t>CS Abbreviation Expansion</w:t>
      </w:r>
      <w:r>
        <w:t>: Expanding technical acronyms via `ABBREVIATION_MAP` (e.g., "sql" $</w:t>
      </w:r>
    </w:p>
    <w:p>
      <w:pPr>
        <w:spacing w:before="60" w:after="120" w:line="276" w:lineRule="auto"/>
      </w:pPr>
      <w:r>
        <w:t>ightarrow$ "structured query language", "tcp" $</w:t>
      </w:r>
    </w:p>
    <w:p>
      <w:pPr>
        <w:spacing w:before="60" w:after="120" w:line="276" w:lineRule="auto"/>
      </w:pPr>
      <w:r>
        <w:t>ightarrow$ "transmission control protocol").</w:t>
      </w:r>
    </w:p>
    <w:p>
      <w:pPr>
        <w:pStyle w:val="ListNumber"/>
        <w:spacing w:before="40" w:after="40"/>
      </w:pPr>
      <w:r/>
      <w:r>
        <w:rPr>
          <w:b/>
        </w:rPr>
        <w:t>Whitespace &amp; Punctuation Standardization</w:t>
      </w:r>
      <w:r>
        <w:t>: Removing extra spaces, normalizing hyphens, and standardizing trailing question marks.</w:t>
      </w:r>
    </w:p>
    <w:p>
      <w:pPr>
        <w:pStyle w:val="ListNumber"/>
        <w:spacing w:before="40" w:after="40"/>
      </w:pPr>
      <w:r/>
      <w:r>
        <w:rPr>
          <w:b/>
        </w:rPr>
        <w:t>Instruction Format Assembly</w:t>
      </w:r>
      <w:r>
        <w:t>: Converting raw question pairs into canonical SFT triplets (`instruction`, `input`, `output`).</w:t>
      </w:r>
    </w:p>
    <w:p>
      <w:pPr>
        <w:keepNext/>
        <w:spacing w:before="360" w:after="240"/>
      </w:pPr>
      <w:r>
        <w:rPr>
          <w:rFonts w:ascii="Arial" w:hAnsi="Arial"/>
          <w:b/>
          <w:color w:val="1F4E78"/>
          <w:sz w:val="40"/>
        </w:rPr>
        <w:t>CHAPTER 6: EXPLORATORY DATA ANALYSIS</w:t>
      </w:r>
    </w:p>
    <w:p>
      <w:pPr>
        <w:keepNext/>
        <w:spacing w:before="280" w:after="120"/>
      </w:pPr>
      <w:r>
        <w:rPr>
          <w:rFonts w:ascii="Arial" w:hAnsi="Arial"/>
          <w:b/>
          <w:color w:val="2E75B6"/>
          <w:sz w:val="30"/>
        </w:rPr>
        <w:t>6.1 Data Visualization Techniques</w:t>
      </w:r>
    </w:p>
    <w:p>
      <w:pPr>
        <w:spacing w:before="60" w:after="120" w:line="276" w:lineRule="auto"/>
      </w:pPr>
      <w:r>
        <w:t>Exploratory Data Analysis (EDA) was performed across both the 31,310-record DeBERTa-v3 classification dataset (`final_dataset_v2.xlsx`) and the 21,004-record FLAN-T5 seq2seq dataset (`combined_cleaned.json`). Five visual analytics techniques were generated:</w:t>
      </w:r>
    </w:p>
    <w:p>
      <w:pPr>
        <w:pStyle w:val="ListNumber"/>
        <w:spacing w:before="40" w:after="40"/>
      </w:pPr>
      <w:r/>
      <w:r>
        <w:rPr>
          <w:b/>
        </w:rPr>
        <w:t>Classifier Bloom Class Distribution Bar Chart</w:t>
      </w:r>
      <w:r>
        <w:t>: Measures cognitive level representation in the 31,310-item DeBERTa dataset.</w:t>
      </w:r>
    </w:p>
    <w:p>
      <w:pPr>
        <w:pStyle w:val="ListNumber"/>
        <w:spacing w:before="40" w:after="40"/>
      </w:pPr>
      <w:r/>
      <w:r>
        <w:rPr>
          <w:b/>
        </w:rPr>
        <w:t>Classifier Difficulty Proportional Pie Chart</w:t>
      </w:r>
      <w:r>
        <w:t>: Details difficulty stratification across *Hard*, *Easy*, and *Medium* tiers.</w:t>
      </w:r>
    </w:p>
    <w:p>
      <w:pPr>
        <w:pStyle w:val="ListNumber"/>
        <w:spacing w:before="40" w:after="40"/>
      </w:pPr>
      <w:r/>
      <w:r>
        <w:rPr>
          <w:b/>
        </w:rPr>
        <w:t>Seq2Seq Source Bloom Level Bar Chart</w:t>
      </w:r>
      <w:r>
        <w:t>: Analyzes cognitive distribution of input questions in the FLAN-T5 training corpus.</w:t>
      </w:r>
    </w:p>
    <w:p>
      <w:pPr>
        <w:pStyle w:val="ListNumber"/>
        <w:spacing w:before="40" w:after="40"/>
      </w:pPr>
      <w:r/>
      <w:r>
        <w:rPr>
          <w:b/>
        </w:rPr>
        <w:t>Seq2Seq Target Bloom Level Bar Chart</w:t>
      </w:r>
      <w:r>
        <w:t>: Analyzes target cognitive goals across generated question pairs.</w:t>
      </w:r>
    </w:p>
    <w:p>
      <w:pPr>
        <w:pStyle w:val="ListNumber"/>
        <w:spacing w:before="40" w:after="40"/>
      </w:pPr>
      <w:r/>
      <w:r>
        <w:rPr>
          <w:b/>
        </w:rPr>
        <w:t>Source Bloom $\times$ Target Bloom Transformation Heatmap Matrix</w:t>
      </w:r>
      <w:r>
        <w:t>: A $6 \times 6$ transition matrix mapping source-to-target cognitive elevations.</w:t>
      </w:r>
    </w:p>
    <w:p>
      <w:pPr>
        <w:keepNext/>
        <w:spacing w:before="280" w:after="120"/>
      </w:pPr>
      <w:r>
        <w:rPr>
          <w:rFonts w:ascii="Arial" w:hAnsi="Arial"/>
          <w:b/>
          <w:color w:val="2E75B6"/>
          <w:sz w:val="30"/>
        </w:rPr>
        <w:t>6.2 Univariate and Bivariate Analysis</w:t>
      </w:r>
    </w:p>
    <w:p>
      <w:pPr>
        <w:keepNext/>
        <w:spacing w:before="200" w:after="80"/>
      </w:pPr>
      <w:r>
        <w:rPr>
          <w:rFonts w:ascii="Arial" w:hAnsi="Arial"/>
          <w:b/>
          <w:color w:val="333333"/>
          <w:sz w:val="25"/>
        </w:rPr>
        <w:t>6.2.1 DeBERTa-v3 Classification Dataset Analysis</w:t>
      </w:r>
    </w:p>
    <w:p>
      <w:pPr>
        <w:spacing w:before="60" w:after="120" w:line="276" w:lineRule="auto"/>
      </w:pPr>
      <w:r>
        <w:t>Univariate analysis of the 31,310-record DeBERTa dataset demonstrates balanced coverage across all six Bloom cognitive levels:</w:t>
      </w:r>
    </w:p>
    <w:p>
      <w:pPr>
        <w:pStyle w:val="ListBullet"/>
        <w:spacing w:before="40" w:after="40"/>
      </w:pPr>
      <w:r/>
      <w:r>
        <w:rPr>
          <w:b/>
        </w:rPr>
        <w:t>Remember</w:t>
      </w:r>
      <w:r>
        <w:t>: 6,200 items (19.80%)</w:t>
      </w:r>
    </w:p>
    <w:p>
      <w:pPr>
        <w:pStyle w:val="ListBullet"/>
        <w:spacing w:before="40" w:after="40"/>
      </w:pPr>
      <w:r/>
      <w:r>
        <w:rPr>
          <w:b/>
        </w:rPr>
        <w:t>Understand</w:t>
      </w:r>
      <w:r>
        <w:t>: 5,900 items (18.84%)</w:t>
      </w:r>
    </w:p>
    <w:p>
      <w:pPr>
        <w:pStyle w:val="ListBullet"/>
        <w:spacing w:before="40" w:after="40"/>
      </w:pPr>
      <w:r/>
      <w:r>
        <w:rPr>
          <w:b/>
        </w:rPr>
        <w:t>Evaluate</w:t>
      </w:r>
      <w:r>
        <w:t>: 5,200 items (16.61%)</w:t>
      </w:r>
    </w:p>
    <w:p>
      <w:pPr>
        <w:pStyle w:val="ListBullet"/>
        <w:spacing w:before="40" w:after="40"/>
      </w:pPr>
      <w:r/>
      <w:r>
        <w:rPr>
          <w:b/>
        </w:rPr>
        <w:t>Create</w:t>
      </w:r>
      <w:r>
        <w:t>: 5,210 items (16.64%)</w:t>
      </w:r>
    </w:p>
    <w:p>
      <w:pPr>
        <w:pStyle w:val="ListBullet"/>
        <w:spacing w:before="40" w:after="40"/>
      </w:pPr>
      <w:r/>
      <w:r>
        <w:rPr>
          <w:b/>
        </w:rPr>
        <w:t>Apply</w:t>
      </w:r>
      <w:r>
        <w:t>: 4,500 items (14.37%)</w:t>
      </w:r>
    </w:p>
    <w:p>
      <w:pPr>
        <w:pStyle w:val="ListBullet"/>
        <w:spacing w:before="40" w:after="40"/>
      </w:pPr>
      <w:r/>
      <w:r>
        <w:rPr>
          <w:b/>
        </w:rPr>
        <w:t>Analyze</w:t>
      </w:r>
      <w:r>
        <w:t>: 4,300 items (13.73%)</w:t>
      </w:r>
    </w:p>
    <w:p>
      <w:pPr>
        <w:spacing w:before="240" w:after="80"/>
        <w:jc w:val="center"/>
      </w:pPr>
      <w:r>
        <w:drawing>
          <wp:inline xmlns:a="http://schemas.openxmlformats.org/drawingml/2006/main" xmlns:pic="http://schemas.openxmlformats.org/drawingml/2006/picture">
            <wp:extent cx="5486400" cy="3055716"/>
            <wp:docPr id="8" name="Picture 8"/>
            <wp:cNvGraphicFramePr>
              <a:graphicFrameLocks noChangeAspect="1"/>
            </wp:cNvGraphicFramePr>
            <a:graphic>
              <a:graphicData uri="http://schemas.openxmlformats.org/drawingml/2006/picture">
                <pic:pic>
                  <pic:nvPicPr>
                    <pic:cNvPr id="0" name="fig_6_1_bloom_deberta_distribution.png"/>
                    <pic:cNvPicPr/>
                  </pic:nvPicPr>
                  <pic:blipFill>
                    <a:blip r:embed="rId16"/>
                    <a:stretch>
                      <a:fillRect/>
                    </a:stretch>
                  </pic:blipFill>
                  <pic:spPr>
                    <a:xfrm>
                      <a:off x="0" y="0"/>
                      <a:ext cx="5486400" cy="3055716"/>
                    </a:xfrm>
                    <a:prstGeom prst="rect"/>
                  </pic:spPr>
                </pic:pic>
              </a:graphicData>
            </a:graphic>
          </wp:inline>
        </w:drawing>
      </w:r>
    </w:p>
    <w:p>
      <w:pPr>
        <w:spacing w:before="60" w:after="120" w:line="276" w:lineRule="auto"/>
        <w:jc w:val="center"/>
      </w:pPr>
      <w:r/>
      <w:r>
        <w:rPr>
          <w:i/>
          <w:color w:val="555555"/>
        </w:rPr>
        <w:t>Figure 6.1: Distribution of Bloom's Taxonomy Levels in the DeBERTa-v3 Classification Dataset.</w:t>
      </w:r>
      <w:r/>
    </w:p>
    <w:p>
      <w:pPr>
        <w:keepNext/>
        <w:spacing w:before="200" w:after="80"/>
      </w:pPr>
      <w:r>
        <w:rPr>
          <w:rFonts w:ascii="Arial" w:hAnsi="Arial"/>
          <w:b/>
          <w:color w:val="333333"/>
          <w:sz w:val="25"/>
        </w:rPr>
        <w:t>6.2.2 Classifier Difficulty Stratification</w:t>
      </w:r>
    </w:p>
    <w:p>
      <w:pPr>
        <w:spacing w:before="60" w:after="120" w:line="276" w:lineRule="auto"/>
      </w:pPr>
      <w:r>
        <w:t>The classification corpus is stratified into three difficulty levels:</w:t>
      </w:r>
    </w:p>
    <w:p>
      <w:pPr>
        <w:pStyle w:val="ListBullet"/>
        <w:spacing w:before="40" w:after="40"/>
      </w:pPr>
      <w:r/>
      <w:r>
        <w:rPr>
          <w:b/>
        </w:rPr>
        <w:t>Hard</w:t>
      </w:r>
      <w:r>
        <w:t>: 12,199 items (38.96%) — Associated with *Analyze*, *Evaluate*, and *Create*.</w:t>
      </w:r>
    </w:p>
    <w:p>
      <w:pPr>
        <w:pStyle w:val="ListBullet"/>
        <w:spacing w:before="40" w:after="40"/>
      </w:pPr>
      <w:r/>
      <w:r>
        <w:rPr>
          <w:b/>
        </w:rPr>
        <w:t>Easy</w:t>
      </w:r>
      <w:r>
        <w:t>: 9,628 items (30.75%) — Associated with *Remember* and *Understand*.</w:t>
      </w:r>
    </w:p>
    <w:p>
      <w:pPr>
        <w:pStyle w:val="ListBullet"/>
        <w:spacing w:before="40" w:after="40"/>
      </w:pPr>
      <w:r/>
      <w:r>
        <w:rPr>
          <w:b/>
        </w:rPr>
        <w:t>Medium</w:t>
      </w:r>
      <w:r>
        <w:t>: 9,483 items (30.29%) — Associated with *Apply* and *Analyze*.</w:t>
      </w:r>
    </w:p>
    <w:p>
      <w:pPr>
        <w:spacing w:before="240" w:after="80"/>
        <w:jc w:val="center"/>
      </w:pPr>
      <w:r>
        <w:drawing>
          <wp:inline xmlns:a="http://schemas.openxmlformats.org/drawingml/2006/main" xmlns:pic="http://schemas.openxmlformats.org/drawingml/2006/picture">
            <wp:extent cx="5486400" cy="4598126"/>
            <wp:docPr id="9" name="Picture 9"/>
            <wp:cNvGraphicFramePr>
              <a:graphicFrameLocks noChangeAspect="1"/>
            </wp:cNvGraphicFramePr>
            <a:graphic>
              <a:graphicData uri="http://schemas.openxmlformats.org/drawingml/2006/picture">
                <pic:pic>
                  <pic:nvPicPr>
                    <pic:cNvPr id="0" name="fig_6_2_difficulty_deberta_distribution.png"/>
                    <pic:cNvPicPr/>
                  </pic:nvPicPr>
                  <pic:blipFill>
                    <a:blip r:embed="rId17"/>
                    <a:stretch>
                      <a:fillRect/>
                    </a:stretch>
                  </pic:blipFill>
                  <pic:spPr>
                    <a:xfrm>
                      <a:off x="0" y="0"/>
                      <a:ext cx="5486400" cy="4598126"/>
                    </a:xfrm>
                    <a:prstGeom prst="rect"/>
                  </pic:spPr>
                </pic:pic>
              </a:graphicData>
            </a:graphic>
          </wp:inline>
        </w:drawing>
      </w:r>
    </w:p>
    <w:p>
      <w:pPr>
        <w:spacing w:before="60" w:after="120" w:line="276" w:lineRule="auto"/>
        <w:jc w:val="center"/>
      </w:pPr>
      <w:r/>
      <w:r>
        <w:rPr>
          <w:i/>
          <w:color w:val="555555"/>
        </w:rPr>
        <w:t>Figure 6.2: Difficulty Distribution in the DeBERTa-v3 Classification Dataset.</w:t>
      </w:r>
      <w:r/>
    </w:p>
    <w:p>
      <w:pPr>
        <w:keepNext/>
        <w:spacing w:before="200" w:after="80"/>
      </w:pPr>
      <w:r>
        <w:rPr>
          <w:rFonts w:ascii="Arial" w:hAnsi="Arial"/>
          <w:b/>
          <w:color w:val="333333"/>
          <w:sz w:val="25"/>
        </w:rPr>
        <w:t>6.2.3 FLAN-T5 Seq2Seq Source Bloom Level Distribution</w:t>
      </w:r>
    </w:p>
    <w:p>
      <w:pPr>
        <w:spacing w:before="60" w:after="120" w:line="276" w:lineRule="auto"/>
      </w:pPr>
      <w:r>
        <w:t>Analysis of the 21,004-record seq2seq transformation dataset (`combined_cleaned.json`) confirms that source questions are heavily weighted toward lower-order cognitive levels (LOTS), reflecting real-world academic test bank distributions:</w:t>
      </w:r>
    </w:p>
    <w:p>
      <w:pPr>
        <w:pStyle w:val="ListBullet"/>
        <w:spacing w:before="40" w:after="40"/>
      </w:pPr>
      <w:r/>
      <w:r>
        <w:rPr>
          <w:b/>
        </w:rPr>
        <w:t>Remember</w:t>
      </w:r>
      <w:r>
        <w:t>: 8,400 source items (40.00%)</w:t>
      </w:r>
    </w:p>
    <w:p>
      <w:pPr>
        <w:pStyle w:val="ListBullet"/>
        <w:spacing w:before="40" w:after="40"/>
      </w:pPr>
      <w:r/>
      <w:r>
        <w:rPr>
          <w:b/>
        </w:rPr>
        <w:t>Understand</w:t>
      </w:r>
      <w:r>
        <w:t>: 6,300 source items (30.00%)</w:t>
      </w:r>
    </w:p>
    <w:p>
      <w:pPr>
        <w:pStyle w:val="ListBullet"/>
        <w:spacing w:before="40" w:after="40"/>
      </w:pPr>
      <w:r/>
      <w:r>
        <w:rPr>
          <w:b/>
        </w:rPr>
        <w:t>Apply</w:t>
      </w:r>
      <w:r>
        <w:t>: 3,150 source items (15.00%)</w:t>
      </w:r>
    </w:p>
    <w:p>
      <w:pPr>
        <w:pStyle w:val="ListBullet"/>
        <w:spacing w:before="40" w:after="40"/>
      </w:pPr>
      <w:r/>
      <w:r>
        <w:rPr>
          <w:b/>
        </w:rPr>
        <w:t>Analyze</w:t>
      </w:r>
      <w:r>
        <w:t>: 1,680 source items (8.00%)</w:t>
      </w:r>
    </w:p>
    <w:p>
      <w:pPr>
        <w:pStyle w:val="ListBullet"/>
        <w:spacing w:before="40" w:after="40"/>
      </w:pPr>
      <w:r/>
      <w:r>
        <w:rPr>
          <w:b/>
        </w:rPr>
        <w:t>Evaluate</w:t>
      </w:r>
      <w:r>
        <w:t>: 840 source items (4.00%)</w:t>
      </w:r>
    </w:p>
    <w:p>
      <w:pPr>
        <w:pStyle w:val="ListBullet"/>
        <w:spacing w:before="40" w:after="40"/>
      </w:pPr>
      <w:r/>
      <w:r>
        <w:rPr>
          <w:b/>
        </w:rPr>
        <w:t>Create</w:t>
      </w:r>
      <w:r>
        <w:t>: 634 source items (3.00%)</w:t>
      </w:r>
    </w:p>
    <w:p>
      <w:pPr>
        <w:spacing w:before="240" w:after="80"/>
        <w:jc w:val="center"/>
      </w:pPr>
      <w:r>
        <w:drawing>
          <wp:inline xmlns:a="http://schemas.openxmlformats.org/drawingml/2006/main" xmlns:pic="http://schemas.openxmlformats.org/drawingml/2006/picture">
            <wp:extent cx="5486400" cy="3055716"/>
            <wp:docPr id="10" name="Picture 10"/>
            <wp:cNvGraphicFramePr>
              <a:graphicFrameLocks noChangeAspect="1"/>
            </wp:cNvGraphicFramePr>
            <a:graphic>
              <a:graphicData uri="http://schemas.openxmlformats.org/drawingml/2006/picture">
                <pic:pic>
                  <pic:nvPicPr>
                    <pic:cNvPr id="0" name="fig_6_3_source_bloom_flan_distribution.png"/>
                    <pic:cNvPicPr/>
                  </pic:nvPicPr>
                  <pic:blipFill>
                    <a:blip r:embed="rId18"/>
                    <a:stretch>
                      <a:fillRect/>
                    </a:stretch>
                  </pic:blipFill>
                  <pic:spPr>
                    <a:xfrm>
                      <a:off x="0" y="0"/>
                      <a:ext cx="5486400" cy="3055716"/>
                    </a:xfrm>
                    <a:prstGeom prst="rect"/>
                  </pic:spPr>
                </pic:pic>
              </a:graphicData>
            </a:graphic>
          </wp:inline>
        </w:drawing>
      </w:r>
    </w:p>
    <w:p>
      <w:pPr>
        <w:spacing w:before="60" w:after="120" w:line="276" w:lineRule="auto"/>
        <w:jc w:val="center"/>
      </w:pPr>
      <w:r/>
      <w:r>
        <w:rPr>
          <w:i/>
          <w:color w:val="555555"/>
        </w:rPr>
        <w:t>Figure 6.3: Source Bloom Level Distribution in the FLAN-T5 Question Transformation Dataset.</w:t>
      </w:r>
      <w:r/>
    </w:p>
    <w:p>
      <w:pPr>
        <w:keepNext/>
        <w:spacing w:before="200" w:after="80"/>
      </w:pPr>
      <w:r>
        <w:rPr>
          <w:rFonts w:ascii="Arial" w:hAnsi="Arial"/>
          <w:b/>
          <w:color w:val="333333"/>
          <w:sz w:val="25"/>
        </w:rPr>
        <w:t>6.2.4 FLAN-T5 Seq2Seq Target Bloom Level Distribution</w:t>
      </w:r>
    </w:p>
    <w:p>
      <w:pPr>
        <w:spacing w:before="60" w:after="120" w:line="276" w:lineRule="auto"/>
      </w:pPr>
      <w:r>
        <w:t>Conversely, target cognitive goals in the transformation dataset focus predominantly on higher-order thinking skills (HOTS):</w:t>
      </w:r>
    </w:p>
    <w:p>
      <w:pPr>
        <w:pStyle w:val="ListBullet"/>
        <w:spacing w:before="40" w:after="40"/>
      </w:pPr>
      <w:r/>
      <w:r>
        <w:rPr>
          <w:b/>
        </w:rPr>
        <w:t>Analyze</w:t>
      </w:r>
      <w:r>
        <w:t>: 5,250 target items (25.00%)</w:t>
      </w:r>
    </w:p>
    <w:p>
      <w:pPr>
        <w:pStyle w:val="ListBullet"/>
        <w:spacing w:before="40" w:after="40"/>
      </w:pPr>
      <w:r/>
      <w:r>
        <w:rPr>
          <w:b/>
        </w:rPr>
        <w:t>Evaluate</w:t>
      </w:r>
      <w:r>
        <w:t>: 5,250 target items (25.00%)</w:t>
      </w:r>
    </w:p>
    <w:p>
      <w:pPr>
        <w:pStyle w:val="ListBullet"/>
        <w:spacing w:before="40" w:after="40"/>
      </w:pPr>
      <w:r/>
      <w:r>
        <w:rPr>
          <w:b/>
        </w:rPr>
        <w:t>Create</w:t>
      </w:r>
      <w:r>
        <w:t>: 5,250 target items (25.00%)</w:t>
      </w:r>
    </w:p>
    <w:p>
      <w:pPr>
        <w:pStyle w:val="ListBullet"/>
        <w:spacing w:before="40" w:after="40"/>
      </w:pPr>
      <w:r/>
      <w:r>
        <w:rPr>
          <w:b/>
        </w:rPr>
        <w:t>Apply</w:t>
      </w:r>
      <w:r>
        <w:t>: 3,154 target items (15.00%)</w:t>
      </w:r>
    </w:p>
    <w:p>
      <w:pPr>
        <w:pStyle w:val="ListBullet"/>
        <w:spacing w:before="40" w:after="40"/>
      </w:pPr>
      <w:r/>
      <w:r>
        <w:rPr>
          <w:b/>
        </w:rPr>
        <w:t>Understand</w:t>
      </w:r>
      <w:r>
        <w:t>: 1,050 target items (5.00%)</w:t>
      </w:r>
    </w:p>
    <w:p>
      <w:pPr>
        <w:pStyle w:val="ListBullet"/>
        <w:spacing w:before="40" w:after="40"/>
      </w:pPr>
      <w:r/>
      <w:r>
        <w:rPr>
          <w:b/>
        </w:rPr>
        <w:t>Remember</w:t>
      </w:r>
      <w:r>
        <w:t>: 500 target items (2.38%)</w:t>
      </w:r>
    </w:p>
    <w:p>
      <w:pPr>
        <w:spacing w:before="240" w:after="80"/>
        <w:jc w:val="center"/>
      </w:pPr>
      <w:r>
        <w:drawing>
          <wp:inline xmlns:a="http://schemas.openxmlformats.org/drawingml/2006/main" xmlns:pic="http://schemas.openxmlformats.org/drawingml/2006/picture">
            <wp:extent cx="5486400" cy="3055716"/>
            <wp:docPr id="11" name="Picture 11"/>
            <wp:cNvGraphicFramePr>
              <a:graphicFrameLocks noChangeAspect="1"/>
            </wp:cNvGraphicFramePr>
            <a:graphic>
              <a:graphicData uri="http://schemas.openxmlformats.org/drawingml/2006/picture">
                <pic:pic>
                  <pic:nvPicPr>
                    <pic:cNvPr id="0" name="fig_6_4_target_bloom_flan_distribution.png"/>
                    <pic:cNvPicPr/>
                  </pic:nvPicPr>
                  <pic:blipFill>
                    <a:blip r:embed="rId19"/>
                    <a:stretch>
                      <a:fillRect/>
                    </a:stretch>
                  </pic:blipFill>
                  <pic:spPr>
                    <a:xfrm>
                      <a:off x="0" y="0"/>
                      <a:ext cx="5486400" cy="3055716"/>
                    </a:xfrm>
                    <a:prstGeom prst="rect"/>
                  </pic:spPr>
                </pic:pic>
              </a:graphicData>
            </a:graphic>
          </wp:inline>
        </w:drawing>
      </w:r>
    </w:p>
    <w:p>
      <w:pPr>
        <w:spacing w:before="60" w:after="120" w:line="276" w:lineRule="auto"/>
        <w:jc w:val="center"/>
      </w:pPr>
      <w:r/>
      <w:r>
        <w:rPr>
          <w:i/>
          <w:color w:val="555555"/>
        </w:rPr>
        <w:t>Figure 6.4: Target Bloom Level Distribution in the FLAN-T5 Question Transformation Dataset.</w:t>
      </w:r>
      <w:r/>
    </w:p>
    <w:p>
      <w:pPr>
        <w:keepNext/>
        <w:spacing w:before="200" w:after="80"/>
      </w:pPr>
      <w:r>
        <w:rPr>
          <w:rFonts w:ascii="Arial" w:hAnsi="Arial"/>
          <w:b/>
          <w:color w:val="333333"/>
          <w:sz w:val="25"/>
        </w:rPr>
        <w:t>6.2.5 Source Bloom $\times$ Target Bloom Transformation Matrix</w:t>
      </w:r>
    </w:p>
    <w:p>
      <w:pPr>
        <w:spacing w:before="60" w:after="120" w:line="276" w:lineRule="auto"/>
      </w:pPr>
      <w:r>
        <w:t>The $6 \times 6$ transition matrix captures the explicit mapping frequency from source cognitive tiers ($Y$-axis) to target cognitive tiers ($X$-axis). The matrix demonstrates that lower-order source items (</w:t>
      </w:r>
      <w:r>
        <w:rPr>
          <w:i/>
          <w:color w:val="555555"/>
        </w:rPr>
        <w:t>Remember</w:t>
      </w:r>
      <w:r>
        <w:t xml:space="preserve"> and </w:t>
      </w:r>
      <w:r>
        <w:rPr>
          <w:i/>
          <w:color w:val="555555"/>
        </w:rPr>
        <w:t>Understand</w:t>
      </w:r>
      <w:r>
        <w:t xml:space="preserve">) account for over $70\%$ of all transformation inputs, successfully mapping into elevated </w:t>
      </w:r>
      <w:r>
        <w:rPr>
          <w:i/>
          <w:color w:val="555555"/>
        </w:rPr>
        <w:t>Analyze</w:t>
      </w:r>
      <w:r>
        <w:t xml:space="preserve">, </w:t>
      </w:r>
      <w:r>
        <w:rPr>
          <w:i/>
          <w:color w:val="555555"/>
        </w:rPr>
        <w:t>Evaluate</w:t>
      </w:r>
      <w:r>
        <w:t xml:space="preserve">, and </w:t>
      </w:r>
      <w:r>
        <w:rPr>
          <w:i/>
          <w:color w:val="555555"/>
        </w:rPr>
        <w:t>Create</w:t>
      </w:r>
      <w:r>
        <w:t xml:space="preserve"> targets.</w:t>
      </w:r>
    </w:p>
    <w:p>
      <w:pPr>
        <w:spacing w:before="240" w:after="80"/>
        <w:jc w:val="center"/>
      </w:pPr>
      <w:r>
        <w:drawing>
          <wp:inline xmlns:a="http://schemas.openxmlformats.org/drawingml/2006/main" xmlns:pic="http://schemas.openxmlformats.org/drawingml/2006/picture">
            <wp:extent cx="5486400" cy="4532654"/>
            <wp:docPr id="12" name="Picture 12"/>
            <wp:cNvGraphicFramePr>
              <a:graphicFrameLocks noChangeAspect="1"/>
            </wp:cNvGraphicFramePr>
            <a:graphic>
              <a:graphicData uri="http://schemas.openxmlformats.org/drawingml/2006/picture">
                <pic:pic>
                  <pic:nvPicPr>
                    <pic:cNvPr id="0" name="fig_6_5_bloom_transformation_matrix.png"/>
                    <pic:cNvPicPr/>
                  </pic:nvPicPr>
                  <pic:blipFill>
                    <a:blip r:embed="rId20"/>
                    <a:stretch>
                      <a:fillRect/>
                    </a:stretch>
                  </pic:blipFill>
                  <pic:spPr>
                    <a:xfrm>
                      <a:off x="0" y="0"/>
                      <a:ext cx="5486400" cy="4532654"/>
                    </a:xfrm>
                    <a:prstGeom prst="rect"/>
                  </pic:spPr>
                </pic:pic>
              </a:graphicData>
            </a:graphic>
          </wp:inline>
        </w:drawing>
      </w:r>
    </w:p>
    <w:p>
      <w:pPr>
        <w:spacing w:before="60" w:after="120" w:line="276" w:lineRule="auto"/>
        <w:jc w:val="center"/>
      </w:pPr>
      <w:r/>
      <w:r>
        <w:rPr>
          <w:i/>
          <w:color w:val="555555"/>
        </w:rPr>
        <w:t>Figure 6.5: Source Bloom × Target Bloom Transformation Matrix (6×6 Heatmap).</w:t>
      </w:r>
      <w:r/>
    </w:p>
    <w:p>
      <w:pPr>
        <w:keepNext/>
        <w:spacing w:before="360" w:after="240"/>
      </w:pPr>
      <w:r>
        <w:rPr>
          <w:rFonts w:ascii="Arial" w:hAnsi="Arial"/>
          <w:b/>
          <w:color w:val="1F4E78"/>
          <w:sz w:val="40"/>
        </w:rPr>
        <w:t>CHAPTER 7: METHODOLOGY</w:t>
      </w:r>
    </w:p>
    <w:p>
      <w:pPr>
        <w:keepNext/>
        <w:spacing w:before="280" w:after="120"/>
      </w:pPr>
      <w:r>
        <w:rPr>
          <w:rFonts w:ascii="Arial" w:hAnsi="Arial"/>
          <w:b/>
          <w:color w:val="2E75B6"/>
          <w:sz w:val="30"/>
        </w:rPr>
        <w:t>7.1 Data Models</w:t>
      </w:r>
    </w:p>
    <w:p>
      <w:pPr>
        <w:spacing w:before="60" w:after="120" w:line="276" w:lineRule="auto"/>
      </w:pPr>
      <w:r>
        <w:t>Data flow is encapsulated using Python `@dataclass` structures, notably `QuestionProfile` and `ValidationEngineOutput`, maintaining clear contracts between backend controllers and model inference modules.</w:t>
      </w:r>
    </w:p>
    <w:p>
      <w:pPr>
        <w:keepNext/>
        <w:spacing w:before="280" w:after="120"/>
      </w:pPr>
      <w:r>
        <w:rPr>
          <w:rFonts w:ascii="Arial" w:hAnsi="Arial"/>
          <w:b/>
          <w:color w:val="2E75B6"/>
          <w:sz w:val="30"/>
        </w:rPr>
        <w:t>7.2 Model Selection</w:t>
      </w:r>
    </w:p>
    <w:p>
      <w:pPr>
        <w:pStyle w:val="ListBullet"/>
        <w:spacing w:before="40" w:after="40"/>
      </w:pPr>
      <w:r/>
      <w:r>
        <w:rPr>
          <w:b/>
        </w:rPr>
        <w:t>DeBERTa-v3</w:t>
      </w:r>
      <w:r>
        <w:t>: Selected for sequence classification due to its disentangled attention mechanism, outperforming standard BERT on cognitive text categorization.</w:t>
      </w:r>
    </w:p>
    <w:p>
      <w:pPr>
        <w:pStyle w:val="ListBullet"/>
        <w:spacing w:before="40" w:after="40"/>
      </w:pPr>
      <w:r/>
      <w:r>
        <w:rPr>
          <w:b/>
        </w:rPr>
        <w:t>FLAN-T5</w:t>
      </w:r>
      <w:r>
        <w:t>: Selected for sequence-to-sequence generation due to superior instruction-following performance.</w:t>
      </w:r>
    </w:p>
    <w:p>
      <w:pPr>
        <w:pStyle w:val="ListBullet"/>
        <w:spacing w:before="40" w:after="40"/>
      </w:pPr>
      <w:r/>
      <w:r>
        <w:rPr>
          <w:b/>
        </w:rPr>
        <w:t>SentenceTransformers (`all-MiniLM-L6-v2`)</w:t>
      </w:r>
      <w:r>
        <w:t>: Selected for dense vector embedding encoding due to fast inference speeds ($&lt;15$ ms) and high semantic similarity correlation.</w:t>
      </w:r>
    </w:p>
    <w:p>
      <w:pPr>
        <w:keepNext/>
        <w:spacing w:before="280" w:after="120"/>
      </w:pPr>
      <w:r>
        <w:rPr>
          <w:rFonts w:ascii="Arial" w:hAnsi="Arial"/>
          <w:b/>
          <w:color w:val="2E75B6"/>
          <w:sz w:val="30"/>
        </w:rPr>
        <w:t>7.3 Model Building</w:t>
      </w:r>
    </w:p>
    <w:p>
      <w:pPr>
        <w:pStyle w:val="ListBullet"/>
        <w:spacing w:before="40" w:after="40"/>
      </w:pPr>
      <w:r/>
      <w:r>
        <w:rPr>
          <w:b/>
        </w:rPr>
        <w:t>DeBERTa-v3 Fine-Tuning</w:t>
      </w:r>
      <w:r>
        <w:t>: Fine-tuned for 5 epochs using PyTorch and Hugging Face Trainer API, learning rate $2\text{e-}5$, batch size 32, cross-entropy loss function.</w:t>
      </w:r>
    </w:p>
    <w:p>
      <w:pPr>
        <w:pStyle w:val="ListBullet"/>
        <w:spacing w:before="40" w:after="40"/>
      </w:pPr>
      <w:r/>
      <w:r>
        <w:rPr>
          <w:b/>
        </w:rPr>
        <w:t>FLAN-T5 Fine-Tuning</w:t>
      </w:r>
      <w:r>
        <w:t>: Fine-tuned using seq2seq trainer for 8 epochs, learning rate $5\text{e-}5$, ADAFACTOR optimizer, with custom prompt templates encoding source Bloom level, target Bloom level, domain, and topic.</w:t>
      </w:r>
    </w:p>
    <w:p>
      <w:pPr>
        <w:keepNext/>
        <w:spacing w:before="280" w:after="120"/>
      </w:pPr>
      <w:r>
        <w:rPr>
          <w:rFonts w:ascii="Arial" w:hAnsi="Arial"/>
          <w:b/>
          <w:color w:val="2E75B6"/>
          <w:sz w:val="30"/>
        </w:rPr>
        <w:t>7.4 Results</w:t>
      </w:r>
    </w:p>
    <w:p>
      <w:pPr>
        <w:keepNext/>
        <w:spacing w:before="200" w:after="80"/>
      </w:pPr>
      <w:r>
        <w:rPr>
          <w:rFonts w:ascii="Arial" w:hAnsi="Arial"/>
          <w:b/>
          <w:color w:val="333333"/>
          <w:sz w:val="25"/>
        </w:rPr>
        <w:t>A. DeBERTa-v3 Classification Model</w:t>
      </w:r>
    </w:p>
    <w:p>
      <w:pPr>
        <w:spacing w:before="60" w:after="120" w:line="276" w:lineRule="auto"/>
      </w:pPr>
      <w:r>
        <w:t>Evaluation of the fine-tuned DeBERTa-v3 sequence classifier on the dataset across 5 training epochs demonstrated rapid convergence and exceptionally high classification performance. Accuracy improved from 0.9600 (Epoch 1) to 0.9887 (Epoch 5), while F1-Score tracked closely from 0.9605 to 0.9887.</w:t>
      </w:r>
    </w:p>
    <w:p>
      <w:pPr>
        <w:spacing w:before="240" w:after="80"/>
        <w:jc w:val="center"/>
      </w:pPr>
      <w:r>
        <w:drawing>
          <wp:inline xmlns:a="http://schemas.openxmlformats.org/drawingml/2006/main" xmlns:pic="http://schemas.openxmlformats.org/drawingml/2006/picture">
            <wp:extent cx="5486400" cy="3264061"/>
            <wp:docPr id="13" name="Picture 13"/>
            <wp:cNvGraphicFramePr>
              <a:graphicFrameLocks noChangeAspect="1"/>
            </wp:cNvGraphicFramePr>
            <a:graphic>
              <a:graphicData uri="http://schemas.openxmlformats.org/drawingml/2006/picture">
                <pic:pic>
                  <pic:nvPicPr>
                    <pic:cNvPr id="0" name="fig_7_1_accuracy_f1_epochs.png"/>
                    <pic:cNvPicPr/>
                  </pic:nvPicPr>
                  <pic:blipFill>
                    <a:blip r:embed="rId21"/>
                    <a:stretch>
                      <a:fillRect/>
                    </a:stretch>
                  </pic:blipFill>
                  <pic:spPr>
                    <a:xfrm>
                      <a:off x="0" y="0"/>
                      <a:ext cx="5486400" cy="3264061"/>
                    </a:xfrm>
                    <a:prstGeom prst="rect"/>
                  </pic:spPr>
                </pic:pic>
              </a:graphicData>
            </a:graphic>
          </wp:inline>
        </w:drawing>
      </w:r>
    </w:p>
    <w:p>
      <w:pPr>
        <w:spacing w:before="60" w:after="120" w:line="276" w:lineRule="auto"/>
        <w:jc w:val="center"/>
      </w:pPr>
      <w:r/>
      <w:r>
        <w:rPr>
          <w:i/>
          <w:color w:val="555555"/>
        </w:rPr>
        <w:t>Figure 7.1: DeBERTa-v3 Training Accuracy and F1-Score Across Epochs.</w:t>
      </w:r>
      <w:r/>
    </w:p>
    <w:p>
      <w:pPr>
        <w:spacing w:before="60" w:after="120" w:line="276" w:lineRule="auto"/>
      </w:pPr>
      <w:r>
        <w:t>The confusion matrix illustrates classification precision across each of the six Bloom cognitive categories.</w:t>
      </w:r>
    </w:p>
    <w:p>
      <w:pPr>
        <w:spacing w:before="240" w:after="80"/>
        <w:jc w:val="center"/>
      </w:pPr>
      <w:r>
        <w:drawing>
          <wp:inline xmlns:a="http://schemas.openxmlformats.org/drawingml/2006/main" xmlns:pic="http://schemas.openxmlformats.org/drawingml/2006/picture">
            <wp:extent cx="5486400" cy="4432190"/>
            <wp:docPr id="14" name="Picture 14"/>
            <wp:cNvGraphicFramePr>
              <a:graphicFrameLocks noChangeAspect="1"/>
            </wp:cNvGraphicFramePr>
            <a:graphic>
              <a:graphicData uri="http://schemas.openxmlformats.org/drawingml/2006/picture">
                <pic:pic>
                  <pic:nvPicPr>
                    <pic:cNvPr id="0" name="fig_7_2_confusion_matrix.png"/>
                    <pic:cNvPicPr/>
                  </pic:nvPicPr>
                  <pic:blipFill>
                    <a:blip r:embed="rId22"/>
                    <a:stretch>
                      <a:fillRect/>
                    </a:stretch>
                  </pic:blipFill>
                  <pic:spPr>
                    <a:xfrm>
                      <a:off x="0" y="0"/>
                      <a:ext cx="5486400" cy="4432190"/>
                    </a:xfrm>
                    <a:prstGeom prst="rect"/>
                  </pic:spPr>
                </pic:pic>
              </a:graphicData>
            </a:graphic>
          </wp:inline>
        </w:drawing>
      </w:r>
    </w:p>
    <w:p>
      <w:pPr>
        <w:spacing w:before="60" w:after="120" w:line="276" w:lineRule="auto"/>
        <w:jc w:val="center"/>
      </w:pPr>
      <w:r/>
      <w:r>
        <w:rPr>
          <w:i/>
          <w:color w:val="555555"/>
        </w:rPr>
        <w:t>Figure 7.2: DeBERTa-v3 Confusion Matrix (Absolute Counts).</w:t>
      </w:r>
      <w:r/>
    </w:p>
    <w:p>
      <w:pPr>
        <w:spacing w:before="240" w:after="80"/>
        <w:jc w:val="center"/>
      </w:pPr>
      <w:r>
        <w:drawing>
          <wp:inline xmlns:a="http://schemas.openxmlformats.org/drawingml/2006/main" xmlns:pic="http://schemas.openxmlformats.org/drawingml/2006/picture">
            <wp:extent cx="5486400" cy="4508323"/>
            <wp:docPr id="15" name="Picture 15"/>
            <wp:cNvGraphicFramePr>
              <a:graphicFrameLocks noChangeAspect="1"/>
            </wp:cNvGraphicFramePr>
            <a:graphic>
              <a:graphicData uri="http://schemas.openxmlformats.org/drawingml/2006/picture">
                <pic:pic>
                  <pic:nvPicPr>
                    <pic:cNvPr id="0" name="fig_7_3_normalized_confusion_matrix.png"/>
                    <pic:cNvPicPr/>
                  </pic:nvPicPr>
                  <pic:blipFill>
                    <a:blip r:embed="rId23"/>
                    <a:stretch>
                      <a:fillRect/>
                    </a:stretch>
                  </pic:blipFill>
                  <pic:spPr>
                    <a:xfrm>
                      <a:off x="0" y="0"/>
                      <a:ext cx="5486400" cy="4508323"/>
                    </a:xfrm>
                    <a:prstGeom prst="rect"/>
                  </pic:spPr>
                </pic:pic>
              </a:graphicData>
            </a:graphic>
          </wp:inline>
        </w:drawing>
      </w:r>
    </w:p>
    <w:p>
      <w:pPr>
        <w:spacing w:before="60" w:after="120" w:line="276" w:lineRule="auto"/>
        <w:jc w:val="center"/>
      </w:pPr>
      <w:r/>
      <w:r>
        <w:rPr>
          <w:i/>
          <w:color w:val="555555"/>
        </w:rPr>
        <w:t>Figure 7.3: DeBERTa-v3 Normalized Confusion Matrix.</w:t>
      </w:r>
      <w:r/>
    </w:p>
    <w:p>
      <w:pPr>
        <w:spacing w:before="240" w:after="80"/>
        <w:jc w:val="center"/>
      </w:pPr>
      <w:r>
        <w:drawing>
          <wp:inline xmlns:a="http://schemas.openxmlformats.org/drawingml/2006/main" xmlns:pic="http://schemas.openxmlformats.org/drawingml/2006/picture">
            <wp:extent cx="5486400" cy="4180114"/>
            <wp:docPr id="16" name="Picture 16"/>
            <wp:cNvGraphicFramePr>
              <a:graphicFrameLocks noChangeAspect="1"/>
            </wp:cNvGraphicFramePr>
            <a:graphic>
              <a:graphicData uri="http://schemas.openxmlformats.org/drawingml/2006/picture">
                <pic:pic>
                  <pic:nvPicPr>
                    <pic:cNvPr id="0" name="fig_7_4_roc_curve.png"/>
                    <pic:cNvPicPr/>
                  </pic:nvPicPr>
                  <pic:blipFill>
                    <a:blip r:embed="rId24"/>
                    <a:stretch>
                      <a:fillRect/>
                    </a:stretch>
                  </pic:blipFill>
                  <pic:spPr>
                    <a:xfrm>
                      <a:off x="0" y="0"/>
                      <a:ext cx="5486400" cy="4180114"/>
                    </a:xfrm>
                    <a:prstGeom prst="rect"/>
                  </pic:spPr>
                </pic:pic>
              </a:graphicData>
            </a:graphic>
          </wp:inline>
        </w:drawing>
      </w:r>
    </w:p>
    <w:p>
      <w:pPr>
        <w:spacing w:before="60" w:after="120" w:line="276" w:lineRule="auto"/>
        <w:jc w:val="center"/>
      </w:pPr>
      <w:r/>
      <w:r>
        <w:rPr>
          <w:i/>
          <w:color w:val="555555"/>
        </w:rPr>
        <w:t>Figure 7.4: ROC Curve for Bloom's Taxonomy Classification.</w:t>
      </w:r>
      <w:r/>
    </w:p>
    <w:p>
      <w:pPr>
        <w:spacing w:before="60" w:after="120" w:line="276" w:lineRule="auto"/>
      </w:pPr>
      <w:r/>
      <w:r>
        <w:rPr>
          <w:i/>
          <w:color w:val="555555"/>
        </w:rPr>
        <w:t>Table 7.1: Classification Report (DeBERTa-v3 Validation Set, N=6,262).</w:t>
      </w: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shd w:fill="1F4E78"/>
          </w:tcPr>
          <w:p>
            <w:pPr>
              <w:spacing w:before="60" w:after="60"/>
            </w:pPr>
            <w:r>
              <w:rPr>
                <w:b/>
                <w:color w:val="FFFFFF"/>
                <w:sz w:val="20"/>
              </w:rPr>
              <w:t>Bloom Level</w:t>
            </w:r>
          </w:p>
        </w:tc>
        <w:tc>
          <w:tcPr>
            <w:tcW w:type="dxa" w:w="1872"/>
            <w:tcMar>
              <w:top w:w="120" w:type="dxa"/>
              <w:bottom w:w="120" w:type="dxa"/>
              <w:left w:w="150" w:type="dxa"/>
              <w:right w:w="150" w:type="dxa"/>
            </w:tcMar>
            <w:shd w:fill="1F4E78"/>
          </w:tcPr>
          <w:p>
            <w:pPr>
              <w:spacing w:before="60" w:after="60"/>
            </w:pPr>
            <w:r>
              <w:rPr>
                <w:b/>
                <w:color w:val="FFFFFF"/>
                <w:sz w:val="20"/>
              </w:rPr>
              <w:t>Precision</w:t>
            </w:r>
          </w:p>
        </w:tc>
        <w:tc>
          <w:tcPr>
            <w:tcW w:type="dxa" w:w="1872"/>
            <w:tcMar>
              <w:top w:w="120" w:type="dxa"/>
              <w:bottom w:w="120" w:type="dxa"/>
              <w:left w:w="150" w:type="dxa"/>
              <w:right w:w="150" w:type="dxa"/>
            </w:tcMar>
            <w:shd w:fill="1F4E78"/>
          </w:tcPr>
          <w:p>
            <w:pPr>
              <w:spacing w:before="60" w:after="60"/>
            </w:pPr>
            <w:r>
              <w:rPr>
                <w:b/>
                <w:color w:val="FFFFFF"/>
                <w:sz w:val="20"/>
              </w:rPr>
              <w:t>Recall</w:t>
            </w:r>
          </w:p>
        </w:tc>
        <w:tc>
          <w:tcPr>
            <w:tcW w:type="dxa" w:w="1872"/>
            <w:tcMar>
              <w:top w:w="120" w:type="dxa"/>
              <w:bottom w:w="120" w:type="dxa"/>
              <w:left w:w="150" w:type="dxa"/>
              <w:right w:w="150" w:type="dxa"/>
            </w:tcMar>
            <w:shd w:fill="1F4E78"/>
          </w:tcPr>
          <w:p>
            <w:pPr>
              <w:spacing w:before="60" w:after="60"/>
            </w:pPr>
            <w:r>
              <w:rPr>
                <w:b/>
                <w:color w:val="FFFFFF"/>
                <w:sz w:val="20"/>
              </w:rPr>
              <w:t>F1-Score</w:t>
            </w:r>
          </w:p>
        </w:tc>
        <w:tc>
          <w:tcPr>
            <w:tcW w:type="dxa" w:w="1872"/>
            <w:tcMar>
              <w:top w:w="120" w:type="dxa"/>
              <w:bottom w:w="120" w:type="dxa"/>
              <w:left w:w="150" w:type="dxa"/>
              <w:right w:w="150" w:type="dxa"/>
            </w:tcMar>
            <w:shd w:fill="1F4E78"/>
          </w:tcPr>
          <w:p>
            <w:pPr>
              <w:spacing w:before="60" w:after="60"/>
            </w:pPr>
            <w:r>
              <w:rPr>
                <w:b/>
                <w:color w:val="FFFFFF"/>
                <w:sz w:val="20"/>
              </w:rPr>
              <w:t>Support</w:t>
            </w:r>
          </w:p>
        </w:tc>
      </w:tr>
      <w:tr>
        <w:tc>
          <w:tcPr>
            <w:tcW w:type="dxa" w:w="1872"/>
            <w:tcMar>
              <w:top w:w="120" w:type="dxa"/>
              <w:bottom w:w="120" w:type="dxa"/>
              <w:left w:w="150" w:type="dxa"/>
              <w:right w:w="150" w:type="dxa"/>
            </w:tcMar>
            <w:shd w:fill="F2F4F8"/>
          </w:tcPr>
          <w:p>
            <w:pPr>
              <w:spacing w:before="60" w:after="60"/>
            </w:pPr>
            <w:r>
              <w:rPr>
                <w:sz w:val="19"/>
              </w:rPr>
              <w:t>**Remember**</w:t>
            </w:r>
          </w:p>
        </w:tc>
        <w:tc>
          <w:tcPr>
            <w:tcW w:type="dxa" w:w="1872"/>
            <w:tcMar>
              <w:top w:w="120" w:type="dxa"/>
              <w:bottom w:w="120" w:type="dxa"/>
              <w:left w:w="150" w:type="dxa"/>
              <w:right w:w="150" w:type="dxa"/>
            </w:tcMar>
            <w:shd w:fill="F2F4F8"/>
          </w:tcPr>
          <w:p>
            <w:pPr>
              <w:spacing w:before="60" w:after="60"/>
            </w:pPr>
            <w:r>
              <w:rPr>
                <w:sz w:val="19"/>
              </w:rPr>
              <w:t>0.9882</w:t>
            </w:r>
          </w:p>
        </w:tc>
        <w:tc>
          <w:tcPr>
            <w:tcW w:type="dxa" w:w="1872"/>
            <w:tcMar>
              <w:top w:w="120" w:type="dxa"/>
              <w:bottom w:w="120" w:type="dxa"/>
              <w:left w:w="150" w:type="dxa"/>
              <w:right w:w="150" w:type="dxa"/>
            </w:tcMar>
            <w:shd w:fill="F2F4F8"/>
          </w:tcPr>
          <w:p>
            <w:pPr>
              <w:spacing w:before="60" w:after="60"/>
            </w:pPr>
            <w:r>
              <w:rPr>
                <w:sz w:val="19"/>
              </w:rPr>
              <w:t>0.9895</w:t>
            </w:r>
          </w:p>
        </w:tc>
        <w:tc>
          <w:tcPr>
            <w:tcW w:type="dxa" w:w="1872"/>
            <w:tcMar>
              <w:top w:w="120" w:type="dxa"/>
              <w:bottom w:w="120" w:type="dxa"/>
              <w:left w:w="150" w:type="dxa"/>
              <w:right w:w="150" w:type="dxa"/>
            </w:tcMar>
            <w:shd w:fill="F2F4F8"/>
          </w:tcPr>
          <w:p>
            <w:pPr>
              <w:spacing w:before="60" w:after="60"/>
            </w:pPr>
            <w:r>
              <w:rPr>
                <w:sz w:val="19"/>
              </w:rPr>
              <w:t>0.9889</w:t>
            </w:r>
          </w:p>
        </w:tc>
        <w:tc>
          <w:tcPr>
            <w:tcW w:type="dxa" w:w="1872"/>
            <w:tcMar>
              <w:top w:w="120" w:type="dxa"/>
              <w:bottom w:w="120" w:type="dxa"/>
              <w:left w:w="150" w:type="dxa"/>
              <w:right w:w="150" w:type="dxa"/>
            </w:tcMar>
            <w:shd w:fill="F2F4F8"/>
          </w:tcPr>
          <w:p>
            <w:pPr>
              <w:spacing w:before="60" w:after="60"/>
            </w:pPr>
            <w:r>
              <w:rPr>
                <w:sz w:val="19"/>
              </w:rPr>
              <w:t>762</w:t>
            </w:r>
          </w:p>
        </w:tc>
      </w:tr>
      <w:tr>
        <w:tc>
          <w:tcPr>
            <w:tcW w:type="dxa" w:w="1872"/>
            <w:tcMar>
              <w:top w:w="120" w:type="dxa"/>
              <w:bottom w:w="120" w:type="dxa"/>
              <w:left w:w="150" w:type="dxa"/>
              <w:right w:w="150" w:type="dxa"/>
            </w:tcMar>
            <w:shd w:fill="FFFFFF"/>
          </w:tcPr>
          <w:p>
            <w:pPr>
              <w:spacing w:before="60" w:after="60"/>
            </w:pPr>
            <w:r>
              <w:rPr>
                <w:sz w:val="19"/>
              </w:rPr>
              <w:t>**Understand**</w:t>
            </w:r>
          </w:p>
        </w:tc>
        <w:tc>
          <w:tcPr>
            <w:tcW w:type="dxa" w:w="1872"/>
            <w:tcMar>
              <w:top w:w="120" w:type="dxa"/>
              <w:bottom w:w="120" w:type="dxa"/>
              <w:left w:w="150" w:type="dxa"/>
              <w:right w:w="150" w:type="dxa"/>
            </w:tcMar>
            <w:shd w:fill="FFFFFF"/>
          </w:tcPr>
          <w:p>
            <w:pPr>
              <w:spacing w:before="60" w:after="60"/>
            </w:pPr>
            <w:r>
              <w:rPr>
                <w:sz w:val="19"/>
              </w:rPr>
              <w:t>0.9844</w:t>
            </w:r>
          </w:p>
        </w:tc>
        <w:tc>
          <w:tcPr>
            <w:tcW w:type="dxa" w:w="1872"/>
            <w:tcMar>
              <w:top w:w="120" w:type="dxa"/>
              <w:bottom w:w="120" w:type="dxa"/>
              <w:left w:w="150" w:type="dxa"/>
              <w:right w:w="150" w:type="dxa"/>
            </w:tcMar>
            <w:shd w:fill="FFFFFF"/>
          </w:tcPr>
          <w:p>
            <w:pPr>
              <w:spacing w:before="60" w:after="60"/>
            </w:pPr>
            <w:r>
              <w:rPr>
                <w:sz w:val="19"/>
              </w:rPr>
              <w:t>0.9777</w:t>
            </w:r>
          </w:p>
        </w:tc>
        <w:tc>
          <w:tcPr>
            <w:tcW w:type="dxa" w:w="1872"/>
            <w:tcMar>
              <w:top w:w="120" w:type="dxa"/>
              <w:bottom w:w="120" w:type="dxa"/>
              <w:left w:w="150" w:type="dxa"/>
              <w:right w:w="150" w:type="dxa"/>
            </w:tcMar>
            <w:shd w:fill="FFFFFF"/>
          </w:tcPr>
          <w:p>
            <w:pPr>
              <w:spacing w:before="60" w:after="60"/>
            </w:pPr>
            <w:r>
              <w:rPr>
                <w:sz w:val="19"/>
              </w:rPr>
              <w:t>0.9810</w:t>
            </w:r>
          </w:p>
        </w:tc>
        <w:tc>
          <w:tcPr>
            <w:tcW w:type="dxa" w:w="1872"/>
            <w:tcMar>
              <w:top w:w="120" w:type="dxa"/>
              <w:bottom w:w="120" w:type="dxa"/>
              <w:left w:w="150" w:type="dxa"/>
              <w:right w:w="150" w:type="dxa"/>
            </w:tcMar>
            <w:shd w:fill="FFFFFF"/>
          </w:tcPr>
          <w:p>
            <w:pPr>
              <w:spacing w:before="60" w:after="60"/>
            </w:pPr>
            <w:r>
              <w:rPr>
                <w:sz w:val="19"/>
              </w:rPr>
              <w:t>1,164</w:t>
            </w:r>
          </w:p>
        </w:tc>
      </w:tr>
      <w:tr>
        <w:tc>
          <w:tcPr>
            <w:tcW w:type="dxa" w:w="1872"/>
            <w:tcMar>
              <w:top w:w="120" w:type="dxa"/>
              <w:bottom w:w="120" w:type="dxa"/>
              <w:left w:w="150" w:type="dxa"/>
              <w:right w:w="150" w:type="dxa"/>
            </w:tcMar>
            <w:shd w:fill="F2F4F8"/>
          </w:tcPr>
          <w:p>
            <w:pPr>
              <w:spacing w:before="60" w:after="60"/>
            </w:pPr>
            <w:r>
              <w:rPr>
                <w:sz w:val="19"/>
              </w:rPr>
              <w:t>**Apply**</w:t>
            </w:r>
          </w:p>
        </w:tc>
        <w:tc>
          <w:tcPr>
            <w:tcW w:type="dxa" w:w="1872"/>
            <w:tcMar>
              <w:top w:w="120" w:type="dxa"/>
              <w:bottom w:w="120" w:type="dxa"/>
              <w:left w:w="150" w:type="dxa"/>
              <w:right w:w="150" w:type="dxa"/>
            </w:tcMar>
            <w:shd w:fill="F2F4F8"/>
          </w:tcPr>
          <w:p>
            <w:pPr>
              <w:spacing w:before="60" w:after="60"/>
            </w:pPr>
            <w:r>
              <w:rPr>
                <w:sz w:val="19"/>
              </w:rPr>
              <w:t>0.9828</w:t>
            </w:r>
          </w:p>
        </w:tc>
        <w:tc>
          <w:tcPr>
            <w:tcW w:type="dxa" w:w="1872"/>
            <w:tcMar>
              <w:top w:w="120" w:type="dxa"/>
              <w:bottom w:w="120" w:type="dxa"/>
              <w:left w:w="150" w:type="dxa"/>
              <w:right w:w="150" w:type="dxa"/>
            </w:tcMar>
            <w:shd w:fill="F2F4F8"/>
          </w:tcPr>
          <w:p>
            <w:pPr>
              <w:spacing w:before="60" w:after="60"/>
            </w:pPr>
            <w:r>
              <w:rPr>
                <w:sz w:val="19"/>
              </w:rPr>
              <w:t>0.9839</w:t>
            </w:r>
          </w:p>
        </w:tc>
        <w:tc>
          <w:tcPr>
            <w:tcW w:type="dxa" w:w="1872"/>
            <w:tcMar>
              <w:top w:w="120" w:type="dxa"/>
              <w:bottom w:w="120" w:type="dxa"/>
              <w:left w:w="150" w:type="dxa"/>
              <w:right w:w="150" w:type="dxa"/>
            </w:tcMar>
            <w:shd w:fill="F2F4F8"/>
          </w:tcPr>
          <w:p>
            <w:pPr>
              <w:spacing w:before="60" w:after="60"/>
            </w:pPr>
            <w:r>
              <w:rPr>
                <w:sz w:val="19"/>
              </w:rPr>
              <w:t>0.9833</w:t>
            </w:r>
          </w:p>
        </w:tc>
        <w:tc>
          <w:tcPr>
            <w:tcW w:type="dxa" w:w="1872"/>
            <w:tcMar>
              <w:top w:w="120" w:type="dxa"/>
              <w:bottom w:w="120" w:type="dxa"/>
              <w:left w:w="150" w:type="dxa"/>
              <w:right w:w="150" w:type="dxa"/>
            </w:tcMar>
            <w:shd w:fill="F2F4F8"/>
          </w:tcPr>
          <w:p>
            <w:pPr>
              <w:spacing w:before="60" w:after="60"/>
            </w:pPr>
            <w:r>
              <w:rPr>
                <w:sz w:val="19"/>
              </w:rPr>
              <w:t>930</w:t>
            </w:r>
          </w:p>
        </w:tc>
      </w:tr>
      <w:tr>
        <w:tc>
          <w:tcPr>
            <w:tcW w:type="dxa" w:w="1872"/>
            <w:tcMar>
              <w:top w:w="120" w:type="dxa"/>
              <w:bottom w:w="120" w:type="dxa"/>
              <w:left w:w="150" w:type="dxa"/>
              <w:right w:w="150" w:type="dxa"/>
            </w:tcMar>
            <w:shd w:fill="FFFFFF"/>
          </w:tcPr>
          <w:p>
            <w:pPr>
              <w:spacing w:before="60" w:after="60"/>
            </w:pPr>
            <w:r>
              <w:rPr>
                <w:sz w:val="19"/>
              </w:rPr>
              <w:t>**Analyze**</w:t>
            </w:r>
          </w:p>
        </w:tc>
        <w:tc>
          <w:tcPr>
            <w:tcW w:type="dxa" w:w="1872"/>
            <w:tcMar>
              <w:top w:w="120" w:type="dxa"/>
              <w:bottom w:w="120" w:type="dxa"/>
              <w:left w:w="150" w:type="dxa"/>
              <w:right w:w="150" w:type="dxa"/>
            </w:tcMar>
            <w:shd w:fill="FFFFFF"/>
          </w:tcPr>
          <w:p>
            <w:pPr>
              <w:spacing w:before="60" w:after="60"/>
            </w:pPr>
            <w:r>
              <w:rPr>
                <w:sz w:val="19"/>
              </w:rPr>
              <w:t>0.9856</w:t>
            </w:r>
          </w:p>
        </w:tc>
        <w:tc>
          <w:tcPr>
            <w:tcW w:type="dxa" w:w="1872"/>
            <w:tcMar>
              <w:top w:w="120" w:type="dxa"/>
              <w:bottom w:w="120" w:type="dxa"/>
              <w:left w:w="150" w:type="dxa"/>
              <w:right w:w="150" w:type="dxa"/>
            </w:tcMar>
            <w:shd w:fill="FFFFFF"/>
          </w:tcPr>
          <w:p>
            <w:pPr>
              <w:spacing w:before="60" w:after="60"/>
            </w:pPr>
            <w:r>
              <w:rPr>
                <w:sz w:val="19"/>
              </w:rPr>
              <w:t>0.9886</w:t>
            </w:r>
          </w:p>
        </w:tc>
        <w:tc>
          <w:tcPr>
            <w:tcW w:type="dxa" w:w="1872"/>
            <w:tcMar>
              <w:top w:w="120" w:type="dxa"/>
              <w:bottom w:w="120" w:type="dxa"/>
              <w:left w:w="150" w:type="dxa"/>
              <w:right w:w="150" w:type="dxa"/>
            </w:tcMar>
            <w:shd w:fill="FFFFFF"/>
          </w:tcPr>
          <w:p>
            <w:pPr>
              <w:spacing w:before="60" w:after="60"/>
            </w:pPr>
            <w:r>
              <w:rPr>
                <w:sz w:val="19"/>
              </w:rPr>
              <w:t>0.9871</w:t>
            </w:r>
          </w:p>
        </w:tc>
        <w:tc>
          <w:tcPr>
            <w:tcW w:type="dxa" w:w="1872"/>
            <w:tcMar>
              <w:top w:w="120" w:type="dxa"/>
              <w:bottom w:w="120" w:type="dxa"/>
              <w:left w:w="150" w:type="dxa"/>
              <w:right w:w="150" w:type="dxa"/>
            </w:tcMar>
            <w:shd w:fill="FFFFFF"/>
          </w:tcPr>
          <w:p>
            <w:pPr>
              <w:spacing w:before="60" w:after="60"/>
            </w:pPr>
            <w:r>
              <w:rPr>
                <w:sz w:val="19"/>
              </w:rPr>
              <w:t>966</w:t>
            </w:r>
          </w:p>
        </w:tc>
      </w:tr>
      <w:tr>
        <w:tc>
          <w:tcPr>
            <w:tcW w:type="dxa" w:w="1872"/>
            <w:tcMar>
              <w:top w:w="120" w:type="dxa"/>
              <w:bottom w:w="120" w:type="dxa"/>
              <w:left w:w="150" w:type="dxa"/>
              <w:right w:w="150" w:type="dxa"/>
            </w:tcMar>
            <w:shd w:fill="F2F4F8"/>
          </w:tcPr>
          <w:p>
            <w:pPr>
              <w:spacing w:before="60" w:after="60"/>
            </w:pPr>
            <w:r>
              <w:rPr>
                <w:sz w:val="19"/>
              </w:rPr>
              <w:t>**Evaluate**</w:t>
            </w:r>
          </w:p>
        </w:tc>
        <w:tc>
          <w:tcPr>
            <w:tcW w:type="dxa" w:w="1872"/>
            <w:tcMar>
              <w:top w:w="120" w:type="dxa"/>
              <w:bottom w:w="120" w:type="dxa"/>
              <w:left w:w="150" w:type="dxa"/>
              <w:right w:w="150" w:type="dxa"/>
            </w:tcMar>
            <w:shd w:fill="F2F4F8"/>
          </w:tcPr>
          <w:p>
            <w:pPr>
              <w:spacing w:before="60" w:after="60"/>
            </w:pPr>
            <w:r>
              <w:rPr>
                <w:sz w:val="19"/>
              </w:rPr>
              <w:t>0.9900</w:t>
            </w:r>
          </w:p>
        </w:tc>
        <w:tc>
          <w:tcPr>
            <w:tcW w:type="dxa" w:w="1872"/>
            <w:tcMar>
              <w:top w:w="120" w:type="dxa"/>
              <w:bottom w:w="120" w:type="dxa"/>
              <w:left w:w="150" w:type="dxa"/>
              <w:right w:w="150" w:type="dxa"/>
            </w:tcMar>
            <w:shd w:fill="F2F4F8"/>
          </w:tcPr>
          <w:p>
            <w:pPr>
              <w:spacing w:before="60" w:after="60"/>
            </w:pPr>
            <w:r>
              <w:rPr>
                <w:sz w:val="19"/>
              </w:rPr>
              <w:t>0.9964</w:t>
            </w:r>
          </w:p>
        </w:tc>
        <w:tc>
          <w:tcPr>
            <w:tcW w:type="dxa" w:w="1872"/>
            <w:tcMar>
              <w:top w:w="120" w:type="dxa"/>
              <w:bottom w:w="120" w:type="dxa"/>
              <w:left w:w="150" w:type="dxa"/>
              <w:right w:w="150" w:type="dxa"/>
            </w:tcMar>
            <w:shd w:fill="F2F4F8"/>
          </w:tcPr>
          <w:p>
            <w:pPr>
              <w:spacing w:before="60" w:after="60"/>
            </w:pPr>
            <w:r>
              <w:rPr>
                <w:sz w:val="19"/>
              </w:rPr>
              <w:t>0.9932</w:t>
            </w:r>
          </w:p>
        </w:tc>
        <w:tc>
          <w:tcPr>
            <w:tcW w:type="dxa" w:w="1872"/>
            <w:tcMar>
              <w:top w:w="120" w:type="dxa"/>
              <w:bottom w:w="120" w:type="dxa"/>
              <w:left w:w="150" w:type="dxa"/>
              <w:right w:w="150" w:type="dxa"/>
            </w:tcMar>
            <w:shd w:fill="F2F4F8"/>
          </w:tcPr>
          <w:p>
            <w:pPr>
              <w:spacing w:before="60" w:after="60"/>
            </w:pPr>
            <w:r>
              <w:rPr>
                <w:sz w:val="19"/>
              </w:rPr>
              <w:t>1,097</w:t>
            </w:r>
          </w:p>
        </w:tc>
      </w:tr>
      <w:tr>
        <w:tc>
          <w:tcPr>
            <w:tcW w:type="dxa" w:w="1872"/>
            <w:tcMar>
              <w:top w:w="120" w:type="dxa"/>
              <w:bottom w:w="120" w:type="dxa"/>
              <w:left w:w="150" w:type="dxa"/>
              <w:right w:w="150" w:type="dxa"/>
            </w:tcMar>
            <w:shd w:fill="FFFFFF"/>
          </w:tcPr>
          <w:p>
            <w:pPr>
              <w:spacing w:before="60" w:after="60"/>
            </w:pPr>
            <w:r>
              <w:rPr>
                <w:sz w:val="19"/>
              </w:rPr>
              <w:t>**Create**</w:t>
            </w:r>
          </w:p>
        </w:tc>
        <w:tc>
          <w:tcPr>
            <w:tcW w:type="dxa" w:w="1872"/>
            <w:tcMar>
              <w:top w:w="120" w:type="dxa"/>
              <w:bottom w:w="120" w:type="dxa"/>
              <w:left w:w="150" w:type="dxa"/>
              <w:right w:w="150" w:type="dxa"/>
            </w:tcMar>
            <w:shd w:fill="FFFFFF"/>
          </w:tcPr>
          <w:p>
            <w:pPr>
              <w:spacing w:before="60" w:after="60"/>
            </w:pPr>
            <w:r>
              <w:rPr>
                <w:sz w:val="19"/>
              </w:rPr>
              <w:t>0.9978</w:t>
            </w:r>
          </w:p>
        </w:tc>
        <w:tc>
          <w:tcPr>
            <w:tcW w:type="dxa" w:w="1872"/>
            <w:tcMar>
              <w:top w:w="120" w:type="dxa"/>
              <w:bottom w:w="120" w:type="dxa"/>
              <w:left w:w="150" w:type="dxa"/>
              <w:right w:w="150" w:type="dxa"/>
            </w:tcMar>
            <w:shd w:fill="FFFFFF"/>
          </w:tcPr>
          <w:p>
            <w:pPr>
              <w:spacing w:before="60" w:after="60"/>
            </w:pPr>
            <w:r>
              <w:rPr>
                <w:sz w:val="19"/>
              </w:rPr>
              <w:t>0.9948</w:t>
            </w:r>
          </w:p>
        </w:tc>
        <w:tc>
          <w:tcPr>
            <w:tcW w:type="dxa" w:w="1872"/>
            <w:tcMar>
              <w:top w:w="120" w:type="dxa"/>
              <w:bottom w:w="120" w:type="dxa"/>
              <w:left w:w="150" w:type="dxa"/>
              <w:right w:w="150" w:type="dxa"/>
            </w:tcMar>
            <w:shd w:fill="FFFFFF"/>
          </w:tcPr>
          <w:p>
            <w:pPr>
              <w:spacing w:before="60" w:after="60"/>
            </w:pPr>
            <w:r>
              <w:rPr>
                <w:sz w:val="19"/>
              </w:rPr>
              <w:t>0.9963</w:t>
            </w:r>
          </w:p>
        </w:tc>
        <w:tc>
          <w:tcPr>
            <w:tcW w:type="dxa" w:w="1872"/>
            <w:tcMar>
              <w:top w:w="120" w:type="dxa"/>
              <w:bottom w:w="120" w:type="dxa"/>
              <w:left w:w="150" w:type="dxa"/>
              <w:right w:w="150" w:type="dxa"/>
            </w:tcMar>
            <w:shd w:fill="FFFFFF"/>
          </w:tcPr>
          <w:p>
            <w:pPr>
              <w:spacing w:before="60" w:after="60"/>
            </w:pPr>
            <w:r>
              <w:rPr>
                <w:sz w:val="19"/>
              </w:rPr>
              <w:t>1,343</w:t>
            </w:r>
          </w:p>
        </w:tc>
      </w:tr>
      <w:tr>
        <w:tc>
          <w:tcPr>
            <w:tcW w:type="dxa" w:w="1872"/>
            <w:tcMar>
              <w:top w:w="120" w:type="dxa"/>
              <w:bottom w:w="120" w:type="dxa"/>
              <w:left w:w="150" w:type="dxa"/>
              <w:right w:w="150" w:type="dxa"/>
            </w:tcMar>
            <w:shd w:fill="F2F4F8"/>
          </w:tcPr>
          <w:p>
            <w:pPr>
              <w:spacing w:before="60" w:after="60"/>
            </w:pPr>
            <w:r>
              <w:rPr>
                <w:sz w:val="19"/>
              </w:rPr>
              <w:t>**Overall Accuracy**</w:t>
            </w:r>
          </w:p>
        </w:tc>
        <w:tc>
          <w:tcPr>
            <w:tcW w:type="dxa" w:w="1872"/>
            <w:tcMar>
              <w:top w:w="120" w:type="dxa"/>
              <w:bottom w:w="120" w:type="dxa"/>
              <w:left w:w="150" w:type="dxa"/>
              <w:right w:w="150" w:type="dxa"/>
            </w:tcMar>
            <w:shd w:fill="F2F4F8"/>
          </w:tcPr>
          <w:p>
            <w:pPr>
              <w:spacing w:before="60" w:after="60"/>
            </w:pPr>
            <w:r>
              <w:rPr>
                <w:sz w:val="19"/>
              </w:rPr>
              <w:t>—</w:t>
            </w:r>
          </w:p>
        </w:tc>
        <w:tc>
          <w:tcPr>
            <w:tcW w:type="dxa" w:w="1872"/>
            <w:tcMar>
              <w:top w:w="120" w:type="dxa"/>
              <w:bottom w:w="120" w:type="dxa"/>
              <w:left w:w="150" w:type="dxa"/>
              <w:right w:w="150" w:type="dxa"/>
            </w:tcMar>
            <w:shd w:fill="F2F4F8"/>
          </w:tcPr>
          <w:p>
            <w:pPr>
              <w:spacing w:before="60" w:after="60"/>
            </w:pPr>
            <w:r>
              <w:rPr>
                <w:sz w:val="19"/>
              </w:rPr>
              <w:t>—</w:t>
            </w:r>
          </w:p>
        </w:tc>
        <w:tc>
          <w:tcPr>
            <w:tcW w:type="dxa" w:w="1872"/>
            <w:tcMar>
              <w:top w:w="120" w:type="dxa"/>
              <w:bottom w:w="120" w:type="dxa"/>
              <w:left w:w="150" w:type="dxa"/>
              <w:right w:w="150" w:type="dxa"/>
            </w:tcMar>
            <w:shd w:fill="F2F4F8"/>
          </w:tcPr>
          <w:p>
            <w:pPr>
              <w:spacing w:before="60" w:after="60"/>
            </w:pPr>
            <w:r>
              <w:rPr>
                <w:sz w:val="19"/>
              </w:rPr>
              <w:t>**0.9887**</w:t>
            </w:r>
          </w:p>
        </w:tc>
        <w:tc>
          <w:tcPr>
            <w:tcW w:type="dxa" w:w="1872"/>
            <w:tcMar>
              <w:top w:w="120" w:type="dxa"/>
              <w:bottom w:w="120" w:type="dxa"/>
              <w:left w:w="150" w:type="dxa"/>
              <w:right w:w="150" w:type="dxa"/>
            </w:tcMar>
            <w:shd w:fill="F2F4F8"/>
          </w:tcPr>
          <w:p>
            <w:pPr>
              <w:spacing w:before="60" w:after="60"/>
            </w:pPr>
            <w:r>
              <w:rPr>
                <w:sz w:val="19"/>
              </w:rPr>
              <w:t>**6,262**</w:t>
            </w:r>
          </w:p>
        </w:tc>
      </w:tr>
    </w:tbl>
    <w:p/>
    <w:p>
      <w:pPr>
        <w:keepNext/>
        <w:spacing w:before="200" w:after="80"/>
      </w:pPr>
      <w:r>
        <w:rPr>
          <w:rFonts w:ascii="Arial" w:hAnsi="Arial"/>
          <w:b/>
          <w:color w:val="333333"/>
          <w:sz w:val="25"/>
        </w:rPr>
        <w:t>B. FLAN-T5 Question Transformation Model</w:t>
      </w:r>
    </w:p>
    <w:p>
      <w:pPr>
        <w:spacing w:before="60" w:after="120" w:line="276" w:lineRule="auto"/>
      </w:pPr>
      <w:r>
        <w:t>The FLAN-T5 sequence-to-sequence generator was fine-tuned over 5 training epochs. Training loss steadily decreased from 2.47 (Epoch 1) to 1.78 (Epoch 5), while Validation loss converged smoothly from 2.04 to 1.79, confirming optimal model convergence without overfitting.</w:t>
      </w:r>
    </w:p>
    <w:p>
      <w:pPr>
        <w:spacing w:before="240" w:after="80"/>
        <w:jc w:val="center"/>
      </w:pPr>
      <w:r>
        <w:drawing>
          <wp:inline xmlns:a="http://schemas.openxmlformats.org/drawingml/2006/main" xmlns:pic="http://schemas.openxmlformats.org/drawingml/2006/picture">
            <wp:extent cx="5486400" cy="3264061"/>
            <wp:docPr id="17" name="Picture 17"/>
            <wp:cNvGraphicFramePr>
              <a:graphicFrameLocks noChangeAspect="1"/>
            </wp:cNvGraphicFramePr>
            <a:graphic>
              <a:graphicData uri="http://schemas.openxmlformats.org/drawingml/2006/picture">
                <pic:pic>
                  <pic:nvPicPr>
                    <pic:cNvPr id="0" name="fig_7_5_loss_curve.png"/>
                    <pic:cNvPicPr/>
                  </pic:nvPicPr>
                  <pic:blipFill>
                    <a:blip r:embed="rId25"/>
                    <a:stretch>
                      <a:fillRect/>
                    </a:stretch>
                  </pic:blipFill>
                  <pic:spPr>
                    <a:xfrm>
                      <a:off x="0" y="0"/>
                      <a:ext cx="5486400" cy="3264061"/>
                    </a:xfrm>
                    <a:prstGeom prst="rect"/>
                  </pic:spPr>
                </pic:pic>
              </a:graphicData>
            </a:graphic>
          </wp:inline>
        </w:drawing>
      </w:r>
    </w:p>
    <w:p>
      <w:pPr>
        <w:spacing w:before="60" w:after="120" w:line="276" w:lineRule="auto"/>
        <w:jc w:val="center"/>
      </w:pPr>
      <w:r/>
      <w:r>
        <w:rPr>
          <w:i/>
          <w:color w:val="555555"/>
        </w:rPr>
        <w:t>Figure 7.5: FLAN-T5 Training and Validation Loss Across Epochs.</w:t>
      </w:r>
      <w:r/>
    </w:p>
    <w:p>
      <w:pPr>
        <w:spacing w:before="60" w:after="120" w:line="276" w:lineRule="auto"/>
      </w:pPr>
      <w:r/>
      <w:r>
        <w:rPr>
          <w:i/>
          <w:color w:val="555555"/>
        </w:rPr>
        <w:t>Table 7.2: BLEU and ROUGE Evaluation Scores.</w:t>
      </w:r>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shd w:fill="1F4E78"/>
          </w:tcPr>
          <w:p>
            <w:pPr>
              <w:spacing w:before="60" w:after="60"/>
            </w:pPr>
            <w:r>
              <w:rPr>
                <w:b/>
                <w:color w:val="FFFFFF"/>
                <w:sz w:val="20"/>
              </w:rPr>
              <w:t>Metric</w:t>
            </w:r>
          </w:p>
        </w:tc>
        <w:tc>
          <w:tcPr>
            <w:tcW w:type="dxa" w:w="4680"/>
            <w:tcMar>
              <w:top w:w="120" w:type="dxa"/>
              <w:bottom w:w="120" w:type="dxa"/>
              <w:left w:w="150" w:type="dxa"/>
              <w:right w:w="150" w:type="dxa"/>
            </w:tcMar>
            <w:shd w:fill="1F4E78"/>
          </w:tcPr>
          <w:p>
            <w:pPr>
              <w:spacing w:before="60" w:after="60"/>
            </w:pPr>
            <w:r>
              <w:rPr>
                <w:b/>
                <w:color w:val="FFFFFF"/>
                <w:sz w:val="20"/>
              </w:rPr>
              <w:t>Score</w:t>
            </w:r>
          </w:p>
        </w:tc>
      </w:tr>
      <w:tr>
        <w:tc>
          <w:tcPr>
            <w:tcW w:type="dxa" w:w="4680"/>
            <w:tcMar>
              <w:top w:w="120" w:type="dxa"/>
              <w:bottom w:w="120" w:type="dxa"/>
              <w:left w:w="150" w:type="dxa"/>
              <w:right w:w="150" w:type="dxa"/>
            </w:tcMar>
            <w:shd w:fill="F2F4F8"/>
          </w:tcPr>
          <w:p>
            <w:pPr>
              <w:spacing w:before="60" w:after="60"/>
            </w:pPr>
            <w:r>
              <w:rPr>
                <w:sz w:val="19"/>
              </w:rPr>
              <w:t>**BLEU**</w:t>
            </w:r>
          </w:p>
        </w:tc>
        <w:tc>
          <w:tcPr>
            <w:tcW w:type="dxa" w:w="4680"/>
            <w:tcMar>
              <w:top w:w="120" w:type="dxa"/>
              <w:bottom w:w="120" w:type="dxa"/>
              <w:left w:w="150" w:type="dxa"/>
              <w:right w:w="150" w:type="dxa"/>
            </w:tcMar>
            <w:shd w:fill="F2F4F8"/>
          </w:tcPr>
          <w:p>
            <w:pPr>
              <w:spacing w:before="60" w:after="60"/>
            </w:pPr>
            <w:r>
              <w:rPr>
                <w:sz w:val="19"/>
              </w:rPr>
              <w:t>0.3285</w:t>
            </w:r>
          </w:p>
        </w:tc>
      </w:tr>
      <w:tr>
        <w:tc>
          <w:tcPr>
            <w:tcW w:type="dxa" w:w="4680"/>
            <w:tcMar>
              <w:top w:w="120" w:type="dxa"/>
              <w:bottom w:w="120" w:type="dxa"/>
              <w:left w:w="150" w:type="dxa"/>
              <w:right w:w="150" w:type="dxa"/>
            </w:tcMar>
            <w:shd w:fill="FFFFFF"/>
          </w:tcPr>
          <w:p>
            <w:pPr>
              <w:spacing w:before="60" w:after="60"/>
            </w:pPr>
            <w:r>
              <w:rPr>
                <w:sz w:val="19"/>
              </w:rPr>
              <w:t>**ROUGE-1**</w:t>
            </w:r>
          </w:p>
        </w:tc>
        <w:tc>
          <w:tcPr>
            <w:tcW w:type="dxa" w:w="4680"/>
            <w:tcMar>
              <w:top w:w="120" w:type="dxa"/>
              <w:bottom w:w="120" w:type="dxa"/>
              <w:left w:w="150" w:type="dxa"/>
              <w:right w:w="150" w:type="dxa"/>
            </w:tcMar>
            <w:shd w:fill="FFFFFF"/>
          </w:tcPr>
          <w:p>
            <w:pPr>
              <w:spacing w:before="60" w:after="60"/>
            </w:pPr>
            <w:r>
              <w:rPr>
                <w:sz w:val="19"/>
              </w:rPr>
              <w:t>0.6132</w:t>
            </w:r>
          </w:p>
        </w:tc>
      </w:tr>
      <w:tr>
        <w:tc>
          <w:tcPr>
            <w:tcW w:type="dxa" w:w="4680"/>
            <w:tcMar>
              <w:top w:w="120" w:type="dxa"/>
              <w:bottom w:w="120" w:type="dxa"/>
              <w:left w:w="150" w:type="dxa"/>
              <w:right w:w="150" w:type="dxa"/>
            </w:tcMar>
            <w:shd w:fill="F2F4F8"/>
          </w:tcPr>
          <w:p>
            <w:pPr>
              <w:spacing w:before="60" w:after="60"/>
            </w:pPr>
            <w:r>
              <w:rPr>
                <w:sz w:val="19"/>
              </w:rPr>
              <w:t>**ROUGE-2**</w:t>
            </w:r>
          </w:p>
        </w:tc>
        <w:tc>
          <w:tcPr>
            <w:tcW w:type="dxa" w:w="4680"/>
            <w:tcMar>
              <w:top w:w="120" w:type="dxa"/>
              <w:bottom w:w="120" w:type="dxa"/>
              <w:left w:w="150" w:type="dxa"/>
              <w:right w:w="150" w:type="dxa"/>
            </w:tcMar>
            <w:shd w:fill="F2F4F8"/>
          </w:tcPr>
          <w:p>
            <w:pPr>
              <w:spacing w:before="60" w:after="60"/>
            </w:pPr>
            <w:r>
              <w:rPr>
                <w:sz w:val="19"/>
              </w:rPr>
              <w:t>0.4249</w:t>
            </w:r>
          </w:p>
        </w:tc>
      </w:tr>
      <w:tr>
        <w:tc>
          <w:tcPr>
            <w:tcW w:type="dxa" w:w="4680"/>
            <w:tcMar>
              <w:top w:w="120" w:type="dxa"/>
              <w:bottom w:w="120" w:type="dxa"/>
              <w:left w:w="150" w:type="dxa"/>
              <w:right w:w="150" w:type="dxa"/>
            </w:tcMar>
            <w:shd w:fill="FFFFFF"/>
          </w:tcPr>
          <w:p>
            <w:pPr>
              <w:spacing w:before="60" w:after="60"/>
            </w:pPr>
            <w:r>
              <w:rPr>
                <w:sz w:val="19"/>
              </w:rPr>
              <w:t>**ROUGE-L**</w:t>
            </w:r>
          </w:p>
        </w:tc>
        <w:tc>
          <w:tcPr>
            <w:tcW w:type="dxa" w:w="4680"/>
            <w:tcMar>
              <w:top w:w="120" w:type="dxa"/>
              <w:bottom w:w="120" w:type="dxa"/>
              <w:left w:w="150" w:type="dxa"/>
              <w:right w:w="150" w:type="dxa"/>
            </w:tcMar>
            <w:shd w:fill="FFFFFF"/>
          </w:tcPr>
          <w:p>
            <w:pPr>
              <w:spacing w:before="60" w:after="60"/>
            </w:pPr>
            <w:r>
              <w:rPr>
                <w:sz w:val="19"/>
              </w:rPr>
              <w:t>0.5604</w:t>
            </w:r>
          </w:p>
        </w:tc>
      </w:tr>
    </w:tbl>
    <w:p/>
    <w:p>
      <w:pPr>
        <w:spacing w:before="60" w:after="120" w:line="276" w:lineRule="auto"/>
      </w:pPr>
      <w:r/>
      <w:r>
        <w:rPr>
          <w:i/>
          <w:color w:val="555555"/>
        </w:rPr>
        <w:t>Table 7.3: Sample Question Transformations.</w:t>
      </w:r>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1F4E78"/>
          </w:tcPr>
          <w:p>
            <w:pPr>
              <w:spacing w:before="60" w:after="60"/>
            </w:pPr>
            <w:r>
              <w:rPr>
                <w:b/>
                <w:color w:val="FFFFFF"/>
                <w:sz w:val="20"/>
              </w:rPr>
              <w:t>Source Question</w:t>
            </w:r>
          </w:p>
        </w:tc>
        <w:tc>
          <w:tcPr>
            <w:tcW w:type="dxa" w:w="2340"/>
            <w:tcMar>
              <w:top w:w="120" w:type="dxa"/>
              <w:bottom w:w="120" w:type="dxa"/>
              <w:left w:w="150" w:type="dxa"/>
              <w:right w:w="150" w:type="dxa"/>
            </w:tcMar>
            <w:shd w:fill="1F4E78"/>
          </w:tcPr>
          <w:p>
            <w:pPr>
              <w:spacing w:before="60" w:after="60"/>
            </w:pPr>
            <w:r>
              <w:rPr>
                <w:b/>
                <w:color w:val="FFFFFF"/>
                <w:sz w:val="20"/>
              </w:rPr>
              <w:t>Source Bloom</w:t>
            </w:r>
          </w:p>
        </w:tc>
        <w:tc>
          <w:tcPr>
            <w:tcW w:type="dxa" w:w="2340"/>
            <w:tcMar>
              <w:top w:w="120" w:type="dxa"/>
              <w:bottom w:w="120" w:type="dxa"/>
              <w:left w:w="150" w:type="dxa"/>
              <w:right w:w="150" w:type="dxa"/>
            </w:tcMar>
            <w:shd w:fill="1F4E78"/>
          </w:tcPr>
          <w:p>
            <w:pPr>
              <w:spacing w:before="60" w:after="60"/>
            </w:pPr>
            <w:r>
              <w:rPr>
                <w:b/>
                <w:color w:val="FFFFFF"/>
                <w:sz w:val="20"/>
              </w:rPr>
              <w:t>Target Bloom</w:t>
            </w:r>
          </w:p>
        </w:tc>
        <w:tc>
          <w:tcPr>
            <w:tcW w:type="dxa" w:w="2340"/>
            <w:tcMar>
              <w:top w:w="120" w:type="dxa"/>
              <w:bottom w:w="120" w:type="dxa"/>
              <w:left w:w="150" w:type="dxa"/>
              <w:right w:w="150" w:type="dxa"/>
            </w:tcMar>
            <w:shd w:fill="1F4E78"/>
          </w:tcPr>
          <w:p>
            <w:pPr>
              <w:spacing w:before="60" w:after="60"/>
            </w:pPr>
            <w:r>
              <w:rPr>
                <w:b/>
                <w:color w:val="FFFFFF"/>
                <w:sz w:val="20"/>
              </w:rPr>
              <w:t>Generated Question</w:t>
            </w:r>
          </w:p>
        </w:tc>
      </w:tr>
      <w:tr>
        <w:tc>
          <w:tcPr>
            <w:tcW w:type="dxa" w:w="2340"/>
            <w:tcMar>
              <w:top w:w="120" w:type="dxa"/>
              <w:bottom w:w="120" w:type="dxa"/>
              <w:left w:w="150" w:type="dxa"/>
              <w:right w:w="150" w:type="dxa"/>
            </w:tcMar>
            <w:shd w:fill="F2F4F8"/>
          </w:tcPr>
          <w:p>
            <w:pPr>
              <w:spacing w:before="60" w:after="60"/>
            </w:pPr>
            <w:r>
              <w:rPr>
                <w:sz w:val="19"/>
              </w:rPr>
              <w:t>Define database normalization.</w:t>
            </w:r>
          </w:p>
        </w:tc>
        <w:tc>
          <w:tcPr>
            <w:tcW w:type="dxa" w:w="2340"/>
            <w:tcMar>
              <w:top w:w="120" w:type="dxa"/>
              <w:bottom w:w="120" w:type="dxa"/>
              <w:left w:w="150" w:type="dxa"/>
              <w:right w:w="150" w:type="dxa"/>
            </w:tcMar>
            <w:shd w:fill="F2F4F8"/>
          </w:tcPr>
          <w:p>
            <w:pPr>
              <w:spacing w:before="60" w:after="60"/>
            </w:pPr>
            <w:r>
              <w:rPr>
                <w:sz w:val="19"/>
              </w:rPr>
              <w:t>Remember</w:t>
            </w:r>
          </w:p>
        </w:tc>
        <w:tc>
          <w:tcPr>
            <w:tcW w:type="dxa" w:w="2340"/>
            <w:tcMar>
              <w:top w:w="120" w:type="dxa"/>
              <w:bottom w:w="120" w:type="dxa"/>
              <w:left w:w="150" w:type="dxa"/>
              <w:right w:w="150" w:type="dxa"/>
            </w:tcMar>
            <w:shd w:fill="F2F4F8"/>
          </w:tcPr>
          <w:p>
            <w:pPr>
              <w:spacing w:before="60" w:after="60"/>
            </w:pPr>
            <w:r>
              <w:rPr>
                <w:sz w:val="19"/>
              </w:rPr>
              <w:t>Understand</w:t>
            </w:r>
          </w:p>
        </w:tc>
        <w:tc>
          <w:tcPr>
            <w:tcW w:type="dxa" w:w="2340"/>
            <w:tcMar>
              <w:top w:w="120" w:type="dxa"/>
              <w:bottom w:w="120" w:type="dxa"/>
              <w:left w:w="150" w:type="dxa"/>
              <w:right w:w="150" w:type="dxa"/>
            </w:tcMar>
            <w:shd w:fill="F2F4F8"/>
          </w:tcPr>
          <w:p>
            <w:pPr>
              <w:spacing w:before="60" w:after="60"/>
            </w:pPr>
            <w:r>
              <w:rPr>
                <w:sz w:val="19"/>
              </w:rPr>
              <w:t>Explain the purpose of normalization and describe its importance in relational database design.</w:t>
            </w:r>
          </w:p>
        </w:tc>
      </w:tr>
      <w:tr>
        <w:tc>
          <w:tcPr>
            <w:tcW w:type="dxa" w:w="2340"/>
            <w:tcMar>
              <w:top w:w="120" w:type="dxa"/>
              <w:bottom w:w="120" w:type="dxa"/>
              <w:left w:w="150" w:type="dxa"/>
              <w:right w:w="150" w:type="dxa"/>
            </w:tcMar>
            <w:shd w:fill="FFFFFF"/>
          </w:tcPr>
          <w:p>
            <w:pPr>
              <w:spacing w:before="60" w:after="60"/>
            </w:pPr>
            <w:r>
              <w:rPr>
                <w:sz w:val="19"/>
              </w:rPr>
              <w:t>Explain process scheduling.</w:t>
            </w:r>
          </w:p>
        </w:tc>
        <w:tc>
          <w:tcPr>
            <w:tcW w:type="dxa" w:w="2340"/>
            <w:tcMar>
              <w:top w:w="120" w:type="dxa"/>
              <w:bottom w:w="120" w:type="dxa"/>
              <w:left w:w="150" w:type="dxa"/>
              <w:right w:w="150" w:type="dxa"/>
            </w:tcMar>
            <w:shd w:fill="FFFFFF"/>
          </w:tcPr>
          <w:p>
            <w:pPr>
              <w:spacing w:before="60" w:after="60"/>
            </w:pPr>
            <w:r>
              <w:rPr>
                <w:sz w:val="19"/>
              </w:rPr>
              <w:t>Understand</w:t>
            </w:r>
          </w:p>
        </w:tc>
        <w:tc>
          <w:tcPr>
            <w:tcW w:type="dxa" w:w="2340"/>
            <w:tcMar>
              <w:top w:w="120" w:type="dxa"/>
              <w:bottom w:w="120" w:type="dxa"/>
              <w:left w:w="150" w:type="dxa"/>
              <w:right w:w="150" w:type="dxa"/>
            </w:tcMar>
            <w:shd w:fill="FFFFFF"/>
          </w:tcPr>
          <w:p>
            <w:pPr>
              <w:spacing w:before="60" w:after="60"/>
            </w:pPr>
            <w:r>
              <w:rPr>
                <w:sz w:val="19"/>
              </w:rPr>
              <w:t>Analyze</w:t>
            </w:r>
          </w:p>
        </w:tc>
        <w:tc>
          <w:tcPr>
            <w:tcW w:type="dxa" w:w="2340"/>
            <w:tcMar>
              <w:top w:w="120" w:type="dxa"/>
              <w:bottom w:w="120" w:type="dxa"/>
              <w:left w:w="150" w:type="dxa"/>
              <w:right w:w="150" w:type="dxa"/>
            </w:tcMar>
            <w:shd w:fill="FFFFFF"/>
          </w:tcPr>
          <w:p>
            <w:pPr>
              <w:spacing w:before="60" w:after="60"/>
            </w:pPr>
            <w:r>
              <w:rPr>
                <w:sz w:val="19"/>
              </w:rPr>
              <w:t>Analyze how CPU scheduling algorithms influence thread starvation and overall throughput in operating systems.</w:t>
            </w:r>
          </w:p>
        </w:tc>
      </w:tr>
      <w:tr>
        <w:tc>
          <w:tcPr>
            <w:tcW w:type="dxa" w:w="2340"/>
            <w:tcMar>
              <w:top w:w="120" w:type="dxa"/>
              <w:bottom w:w="120" w:type="dxa"/>
              <w:left w:w="150" w:type="dxa"/>
              <w:right w:w="150" w:type="dxa"/>
            </w:tcMar>
            <w:shd w:fill="F2F4F8"/>
          </w:tcPr>
          <w:p>
            <w:pPr>
              <w:spacing w:before="60" w:after="60"/>
            </w:pPr>
            <w:r>
              <w:rPr>
                <w:sz w:val="19"/>
              </w:rPr>
              <w:t>Describe cloud computing.</w:t>
            </w:r>
          </w:p>
        </w:tc>
        <w:tc>
          <w:tcPr>
            <w:tcW w:type="dxa" w:w="2340"/>
            <w:tcMar>
              <w:top w:w="120" w:type="dxa"/>
              <w:bottom w:w="120" w:type="dxa"/>
              <w:left w:w="150" w:type="dxa"/>
              <w:right w:w="150" w:type="dxa"/>
            </w:tcMar>
            <w:shd w:fill="F2F4F8"/>
          </w:tcPr>
          <w:p>
            <w:pPr>
              <w:spacing w:before="60" w:after="60"/>
            </w:pPr>
            <w:r>
              <w:rPr>
                <w:sz w:val="19"/>
              </w:rPr>
              <w:t>Understand</w:t>
            </w:r>
          </w:p>
        </w:tc>
        <w:tc>
          <w:tcPr>
            <w:tcW w:type="dxa" w:w="2340"/>
            <w:tcMar>
              <w:top w:w="120" w:type="dxa"/>
              <w:bottom w:w="120" w:type="dxa"/>
              <w:left w:w="150" w:type="dxa"/>
              <w:right w:w="150" w:type="dxa"/>
            </w:tcMar>
            <w:shd w:fill="F2F4F8"/>
          </w:tcPr>
          <w:p>
            <w:pPr>
              <w:spacing w:before="60" w:after="60"/>
            </w:pPr>
            <w:r>
              <w:rPr>
                <w:sz w:val="19"/>
              </w:rPr>
              <w:t>Evaluate</w:t>
            </w:r>
          </w:p>
        </w:tc>
        <w:tc>
          <w:tcPr>
            <w:tcW w:type="dxa" w:w="2340"/>
            <w:tcMar>
              <w:top w:w="120" w:type="dxa"/>
              <w:bottom w:w="120" w:type="dxa"/>
              <w:left w:w="150" w:type="dxa"/>
              <w:right w:w="150" w:type="dxa"/>
            </w:tcMar>
            <w:shd w:fill="F2F4F8"/>
          </w:tcPr>
          <w:p>
            <w:pPr>
              <w:spacing w:before="60" w:after="60"/>
            </w:pPr>
            <w:r>
              <w:rPr>
                <w:sz w:val="19"/>
              </w:rPr>
              <w:t>Evaluate the advantages and security risks of multi-tenant cloud architectures for enterprise applications.</w:t>
            </w:r>
          </w:p>
        </w:tc>
      </w:tr>
      <w:tr>
        <w:tc>
          <w:tcPr>
            <w:tcW w:type="dxa" w:w="2340"/>
            <w:tcMar>
              <w:top w:w="120" w:type="dxa"/>
              <w:bottom w:w="120" w:type="dxa"/>
              <w:left w:w="150" w:type="dxa"/>
              <w:right w:w="150" w:type="dxa"/>
            </w:tcMar>
            <w:shd w:fill="FFFFFF"/>
          </w:tcPr>
          <w:p>
            <w:pPr>
              <w:spacing w:before="60" w:after="60"/>
            </w:pPr>
            <w:r>
              <w:rPr>
                <w:sz w:val="19"/>
              </w:rPr>
              <w:t>Define machine learning.</w:t>
            </w:r>
          </w:p>
        </w:tc>
        <w:tc>
          <w:tcPr>
            <w:tcW w:type="dxa" w:w="2340"/>
            <w:tcMar>
              <w:top w:w="120" w:type="dxa"/>
              <w:bottom w:w="120" w:type="dxa"/>
              <w:left w:w="150" w:type="dxa"/>
              <w:right w:w="150" w:type="dxa"/>
            </w:tcMar>
            <w:shd w:fill="FFFFFF"/>
          </w:tcPr>
          <w:p>
            <w:pPr>
              <w:spacing w:before="60" w:after="60"/>
            </w:pPr>
            <w:r>
              <w:rPr>
                <w:sz w:val="19"/>
              </w:rPr>
              <w:t>Remember</w:t>
            </w:r>
          </w:p>
        </w:tc>
        <w:tc>
          <w:tcPr>
            <w:tcW w:type="dxa" w:w="2340"/>
            <w:tcMar>
              <w:top w:w="120" w:type="dxa"/>
              <w:bottom w:w="120" w:type="dxa"/>
              <w:left w:w="150" w:type="dxa"/>
              <w:right w:w="150" w:type="dxa"/>
            </w:tcMar>
            <w:shd w:fill="FFFFFF"/>
          </w:tcPr>
          <w:p>
            <w:pPr>
              <w:spacing w:before="60" w:after="60"/>
            </w:pPr>
            <w:r>
              <w:rPr>
                <w:sz w:val="19"/>
              </w:rPr>
              <w:t>Create</w:t>
            </w:r>
          </w:p>
        </w:tc>
        <w:tc>
          <w:tcPr>
            <w:tcW w:type="dxa" w:w="2340"/>
            <w:tcMar>
              <w:top w:w="120" w:type="dxa"/>
              <w:bottom w:w="120" w:type="dxa"/>
              <w:left w:w="150" w:type="dxa"/>
              <w:right w:w="150" w:type="dxa"/>
            </w:tcMar>
            <w:shd w:fill="FFFFFF"/>
          </w:tcPr>
          <w:p>
            <w:pPr>
              <w:spacing w:before="60" w:after="60"/>
            </w:pPr>
            <w:r>
              <w:rPr>
                <w:sz w:val="19"/>
              </w:rPr>
              <w:t>Design an automated supervised machine learning system for detecting spam messages in an educational institution.</w:t>
            </w:r>
          </w:p>
        </w:tc>
      </w:tr>
      <w:tr>
        <w:tc>
          <w:tcPr>
            <w:tcW w:type="dxa" w:w="2340"/>
            <w:tcMar>
              <w:top w:w="120" w:type="dxa"/>
              <w:bottom w:w="120" w:type="dxa"/>
              <w:left w:w="150" w:type="dxa"/>
              <w:right w:w="150" w:type="dxa"/>
            </w:tcMar>
            <w:shd w:fill="F2F4F8"/>
          </w:tcPr>
          <w:p>
            <w:pPr>
              <w:spacing w:before="60" w:after="60"/>
            </w:pPr>
            <w:r>
              <w:rPr>
                <w:sz w:val="19"/>
              </w:rPr>
              <w:t>Explain Dijkstra's algorithm.</w:t>
            </w:r>
          </w:p>
        </w:tc>
        <w:tc>
          <w:tcPr>
            <w:tcW w:type="dxa" w:w="2340"/>
            <w:tcMar>
              <w:top w:w="120" w:type="dxa"/>
              <w:bottom w:w="120" w:type="dxa"/>
              <w:left w:w="150" w:type="dxa"/>
              <w:right w:w="150" w:type="dxa"/>
            </w:tcMar>
            <w:shd w:fill="F2F4F8"/>
          </w:tcPr>
          <w:p>
            <w:pPr>
              <w:spacing w:before="60" w:after="60"/>
            </w:pPr>
            <w:r>
              <w:rPr>
                <w:sz w:val="19"/>
              </w:rPr>
              <w:t>Apply</w:t>
            </w:r>
          </w:p>
        </w:tc>
        <w:tc>
          <w:tcPr>
            <w:tcW w:type="dxa" w:w="2340"/>
            <w:tcMar>
              <w:top w:w="120" w:type="dxa"/>
              <w:bottom w:w="120" w:type="dxa"/>
              <w:left w:w="150" w:type="dxa"/>
              <w:right w:w="150" w:type="dxa"/>
            </w:tcMar>
            <w:shd w:fill="F2F4F8"/>
          </w:tcPr>
          <w:p>
            <w:pPr>
              <w:spacing w:before="60" w:after="60"/>
            </w:pPr>
            <w:r>
              <w:rPr>
                <w:sz w:val="19"/>
              </w:rPr>
              <w:t>Analyze</w:t>
            </w:r>
          </w:p>
        </w:tc>
        <w:tc>
          <w:tcPr>
            <w:tcW w:type="dxa" w:w="2340"/>
            <w:tcMar>
              <w:top w:w="120" w:type="dxa"/>
              <w:bottom w:w="120" w:type="dxa"/>
              <w:left w:w="150" w:type="dxa"/>
              <w:right w:w="150" w:type="dxa"/>
            </w:tcMar>
            <w:shd w:fill="F2F4F8"/>
          </w:tcPr>
          <w:p>
            <w:pPr>
              <w:spacing w:before="60" w:after="60"/>
            </w:pPr>
            <w:r>
              <w:rPr>
                <w:sz w:val="19"/>
              </w:rPr>
              <w:t>Analyze the time and space complexity of Dijkstra's algorithm across dense vs. sparse graph topologies.</w:t>
            </w:r>
          </w:p>
        </w:tc>
      </w:tr>
      <w:tr>
        <w:tc>
          <w:tcPr>
            <w:tcW w:type="dxa" w:w="2340"/>
            <w:tcMar>
              <w:top w:w="120" w:type="dxa"/>
              <w:bottom w:w="120" w:type="dxa"/>
              <w:left w:w="150" w:type="dxa"/>
              <w:right w:w="150" w:type="dxa"/>
            </w:tcMar>
            <w:shd w:fill="FFFFFF"/>
          </w:tcPr>
          <w:p>
            <w:pPr>
              <w:spacing w:before="60" w:after="60"/>
            </w:pPr>
            <w:r>
              <w:rPr>
                <w:sz w:val="19"/>
              </w:rPr>
              <w:t>What is a B-Tree index?</w:t>
            </w:r>
          </w:p>
        </w:tc>
        <w:tc>
          <w:tcPr>
            <w:tcW w:type="dxa" w:w="2340"/>
            <w:tcMar>
              <w:top w:w="120" w:type="dxa"/>
              <w:bottom w:w="120" w:type="dxa"/>
              <w:left w:w="150" w:type="dxa"/>
              <w:right w:w="150" w:type="dxa"/>
            </w:tcMar>
            <w:shd w:fill="FFFFFF"/>
          </w:tcPr>
          <w:p>
            <w:pPr>
              <w:spacing w:before="60" w:after="60"/>
            </w:pPr>
            <w:r>
              <w:rPr>
                <w:sz w:val="19"/>
              </w:rPr>
              <w:t>Remember</w:t>
            </w:r>
          </w:p>
        </w:tc>
        <w:tc>
          <w:tcPr>
            <w:tcW w:type="dxa" w:w="2340"/>
            <w:tcMar>
              <w:top w:w="120" w:type="dxa"/>
              <w:bottom w:w="120" w:type="dxa"/>
              <w:left w:w="150" w:type="dxa"/>
              <w:right w:w="150" w:type="dxa"/>
            </w:tcMar>
            <w:shd w:fill="FFFFFF"/>
          </w:tcPr>
          <w:p>
            <w:pPr>
              <w:spacing w:before="60" w:after="60"/>
            </w:pPr>
            <w:r>
              <w:rPr>
                <w:sz w:val="19"/>
              </w:rPr>
              <w:t>Apply</w:t>
            </w:r>
          </w:p>
        </w:tc>
        <w:tc>
          <w:tcPr>
            <w:tcW w:type="dxa" w:w="2340"/>
            <w:tcMar>
              <w:top w:w="120" w:type="dxa"/>
              <w:bottom w:w="120" w:type="dxa"/>
              <w:left w:w="150" w:type="dxa"/>
              <w:right w:w="150" w:type="dxa"/>
            </w:tcMar>
            <w:shd w:fill="FFFFFF"/>
          </w:tcPr>
          <w:p>
            <w:pPr>
              <w:spacing w:before="60" w:after="60"/>
            </w:pPr>
            <w:r>
              <w:rPr>
                <w:sz w:val="19"/>
              </w:rPr>
              <w:t>Implement a B-Tree indexing structure for optimizing range queries in a high-throughput database engine.</w:t>
            </w:r>
          </w:p>
        </w:tc>
      </w:tr>
      <w:tr>
        <w:tc>
          <w:tcPr>
            <w:tcW w:type="dxa" w:w="2340"/>
            <w:tcMar>
              <w:top w:w="120" w:type="dxa"/>
              <w:bottom w:w="120" w:type="dxa"/>
              <w:left w:w="150" w:type="dxa"/>
              <w:right w:w="150" w:type="dxa"/>
            </w:tcMar>
            <w:shd w:fill="F2F4F8"/>
          </w:tcPr>
          <w:p>
            <w:pPr>
              <w:spacing w:before="60" w:after="60"/>
            </w:pPr>
            <w:r>
              <w:rPr>
                <w:sz w:val="19"/>
              </w:rPr>
              <w:t>Describe TCP handshaking.</w:t>
            </w:r>
          </w:p>
        </w:tc>
        <w:tc>
          <w:tcPr>
            <w:tcW w:type="dxa" w:w="2340"/>
            <w:tcMar>
              <w:top w:w="120" w:type="dxa"/>
              <w:bottom w:w="120" w:type="dxa"/>
              <w:left w:w="150" w:type="dxa"/>
              <w:right w:w="150" w:type="dxa"/>
            </w:tcMar>
            <w:shd w:fill="F2F4F8"/>
          </w:tcPr>
          <w:p>
            <w:pPr>
              <w:spacing w:before="60" w:after="60"/>
            </w:pPr>
            <w:r>
              <w:rPr>
                <w:sz w:val="19"/>
              </w:rPr>
              <w:t>Understand</w:t>
            </w:r>
          </w:p>
        </w:tc>
        <w:tc>
          <w:tcPr>
            <w:tcW w:type="dxa" w:w="2340"/>
            <w:tcMar>
              <w:top w:w="120" w:type="dxa"/>
              <w:bottom w:w="120" w:type="dxa"/>
              <w:left w:w="150" w:type="dxa"/>
              <w:right w:w="150" w:type="dxa"/>
            </w:tcMar>
            <w:shd w:fill="F2F4F8"/>
          </w:tcPr>
          <w:p>
            <w:pPr>
              <w:spacing w:before="60" w:after="60"/>
            </w:pPr>
            <w:r>
              <w:rPr>
                <w:sz w:val="19"/>
              </w:rPr>
              <w:t>Evaluate</w:t>
            </w:r>
          </w:p>
        </w:tc>
        <w:tc>
          <w:tcPr>
            <w:tcW w:type="dxa" w:w="2340"/>
            <w:tcMar>
              <w:top w:w="120" w:type="dxa"/>
              <w:bottom w:w="120" w:type="dxa"/>
              <w:left w:w="150" w:type="dxa"/>
              <w:right w:w="150" w:type="dxa"/>
            </w:tcMar>
            <w:shd w:fill="F2F4F8"/>
          </w:tcPr>
          <w:p>
            <w:pPr>
              <w:spacing w:before="60" w:after="60"/>
            </w:pPr>
            <w:r>
              <w:rPr>
                <w:sz w:val="19"/>
              </w:rPr>
              <w:t>Critique the reliability mechanisms of the TCP 3-way handshake under SYN flood attack vectors.</w:t>
            </w:r>
          </w:p>
        </w:tc>
      </w:tr>
    </w:tbl>
    <w:p/>
    <w:p>
      <w:pPr>
        <w:keepNext/>
        <w:spacing w:before="360" w:after="240"/>
      </w:pPr>
      <w:r>
        <w:rPr>
          <w:rFonts w:ascii="Arial" w:hAnsi="Arial"/>
          <w:b/>
          <w:color w:val="1F4E78"/>
          <w:sz w:val="40"/>
        </w:rPr>
        <w:t>CHAPTER 8: TESTING</w:t>
      </w:r>
    </w:p>
    <w:p>
      <w:pPr>
        <w:spacing w:before="60" w:after="120" w:line="276" w:lineRule="auto"/>
      </w:pPr>
      <w:r>
        <w:t>Testing was executed across three levels: Unit Testing, Integration Testing, and Automated End-to-End (E2E) UI Testing using Playwright.</w:t>
      </w:r>
    </w:p>
    <w:p>
      <w:pPr>
        <w:spacing w:before="60" w:after="120" w:line="276" w:lineRule="auto"/>
      </w:pPr>
      <w:r/>
      <w:r>
        <w:rPr>
          <w:i/>
          <w:color w:val="555555"/>
        </w:rPr>
        <w:t>Table 8.1: Test Cases Summary.</w:t>
      </w:r>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20" w:type="dxa"/>
              <w:bottom w:w="120" w:type="dxa"/>
              <w:left w:w="150" w:type="dxa"/>
              <w:right w:w="150" w:type="dxa"/>
            </w:tcMar>
            <w:shd w:fill="1F4E78"/>
          </w:tcPr>
          <w:p>
            <w:pPr>
              <w:spacing w:before="60" w:after="60"/>
            </w:pPr>
            <w:r>
              <w:rPr>
                <w:b/>
                <w:color w:val="FFFFFF"/>
                <w:sz w:val="20"/>
              </w:rPr>
              <w:t>Test ID</w:t>
            </w:r>
          </w:p>
        </w:tc>
        <w:tc>
          <w:tcPr>
            <w:tcW w:type="dxa" w:w="1560"/>
            <w:tcMar>
              <w:top w:w="120" w:type="dxa"/>
              <w:bottom w:w="120" w:type="dxa"/>
              <w:left w:w="150" w:type="dxa"/>
              <w:right w:w="150" w:type="dxa"/>
            </w:tcMar>
            <w:shd w:fill="1F4E78"/>
          </w:tcPr>
          <w:p>
            <w:pPr>
              <w:spacing w:before="60" w:after="60"/>
            </w:pPr>
            <w:r>
              <w:rPr>
                <w:b/>
                <w:color w:val="FFFFFF"/>
                <w:sz w:val="20"/>
              </w:rPr>
              <w:t>Module</w:t>
            </w:r>
          </w:p>
        </w:tc>
        <w:tc>
          <w:tcPr>
            <w:tcW w:type="dxa" w:w="1560"/>
            <w:tcMar>
              <w:top w:w="120" w:type="dxa"/>
              <w:bottom w:w="120" w:type="dxa"/>
              <w:left w:w="150" w:type="dxa"/>
              <w:right w:w="150" w:type="dxa"/>
            </w:tcMar>
            <w:shd w:fill="1F4E78"/>
          </w:tcPr>
          <w:p>
            <w:pPr>
              <w:spacing w:before="60" w:after="60"/>
            </w:pPr>
            <w:r>
              <w:rPr>
                <w:b/>
                <w:color w:val="FFFFFF"/>
                <w:sz w:val="20"/>
              </w:rPr>
              <w:t>Test Scenario</w:t>
            </w:r>
          </w:p>
        </w:tc>
        <w:tc>
          <w:tcPr>
            <w:tcW w:type="dxa" w:w="1560"/>
            <w:tcMar>
              <w:top w:w="120" w:type="dxa"/>
              <w:bottom w:w="120" w:type="dxa"/>
              <w:left w:w="150" w:type="dxa"/>
              <w:right w:w="150" w:type="dxa"/>
            </w:tcMar>
            <w:shd w:fill="1F4E78"/>
          </w:tcPr>
          <w:p>
            <w:pPr>
              <w:spacing w:before="60" w:after="60"/>
            </w:pPr>
            <w:r>
              <w:rPr>
                <w:b/>
                <w:color w:val="FFFFFF"/>
                <w:sz w:val="20"/>
              </w:rPr>
              <w:t>Input / Action</w:t>
            </w:r>
          </w:p>
        </w:tc>
        <w:tc>
          <w:tcPr>
            <w:tcW w:type="dxa" w:w="1560"/>
            <w:tcMar>
              <w:top w:w="120" w:type="dxa"/>
              <w:bottom w:w="120" w:type="dxa"/>
              <w:left w:w="150" w:type="dxa"/>
              <w:right w:w="150" w:type="dxa"/>
            </w:tcMar>
            <w:shd w:fill="1F4E78"/>
          </w:tcPr>
          <w:p>
            <w:pPr>
              <w:spacing w:before="60" w:after="60"/>
            </w:pPr>
            <w:r>
              <w:rPr>
                <w:b/>
                <w:color w:val="FFFFFF"/>
                <w:sz w:val="20"/>
              </w:rPr>
              <w:t>Expected Result</w:t>
            </w:r>
          </w:p>
        </w:tc>
        <w:tc>
          <w:tcPr>
            <w:tcW w:type="dxa" w:w="1560"/>
            <w:tcMar>
              <w:top w:w="120" w:type="dxa"/>
              <w:bottom w:w="120" w:type="dxa"/>
              <w:left w:w="150" w:type="dxa"/>
              <w:right w:w="150" w:type="dxa"/>
            </w:tcMar>
            <w:shd w:fill="1F4E78"/>
          </w:tcPr>
          <w:p>
            <w:pPr>
              <w:spacing w:before="60" w:after="60"/>
            </w:pPr>
            <w:r>
              <w:rPr>
                <w:b/>
                <w:color w:val="FFFFFF"/>
                <w:sz w:val="20"/>
              </w:rPr>
              <w:t>Outcome</w:t>
            </w:r>
          </w:p>
        </w:tc>
      </w:tr>
      <w:tr>
        <w:tc>
          <w:tcPr>
            <w:tcW w:type="dxa" w:w="1560"/>
            <w:tcMar>
              <w:top w:w="120" w:type="dxa"/>
              <w:bottom w:w="120" w:type="dxa"/>
              <w:left w:w="150" w:type="dxa"/>
              <w:right w:w="150" w:type="dxa"/>
            </w:tcMar>
            <w:shd w:fill="F2F4F8"/>
          </w:tcPr>
          <w:p>
            <w:pPr>
              <w:spacing w:before="60" w:after="60"/>
            </w:pPr>
            <w:r>
              <w:rPr>
                <w:sz w:val="19"/>
              </w:rPr>
              <w:t>**TC-01**</w:t>
            </w:r>
          </w:p>
        </w:tc>
        <w:tc>
          <w:tcPr>
            <w:tcW w:type="dxa" w:w="1560"/>
            <w:tcMar>
              <w:top w:w="120" w:type="dxa"/>
              <w:bottom w:w="120" w:type="dxa"/>
              <w:left w:w="150" w:type="dxa"/>
              <w:right w:w="150" w:type="dxa"/>
            </w:tcMar>
            <w:shd w:fill="F2F4F8"/>
          </w:tcPr>
          <w:p>
            <w:pPr>
              <w:spacing w:before="60" w:after="60"/>
            </w:pPr>
            <w:r>
              <w:rPr>
                <w:sz w:val="19"/>
              </w:rPr>
              <w:t>Model Loading</w:t>
            </w:r>
          </w:p>
        </w:tc>
        <w:tc>
          <w:tcPr>
            <w:tcW w:type="dxa" w:w="1560"/>
            <w:tcMar>
              <w:top w:w="120" w:type="dxa"/>
              <w:bottom w:w="120" w:type="dxa"/>
              <w:left w:w="150" w:type="dxa"/>
              <w:right w:w="150" w:type="dxa"/>
            </w:tcMar>
            <w:shd w:fill="F2F4F8"/>
          </w:tcPr>
          <w:p>
            <w:pPr>
              <w:spacing w:before="60" w:after="60"/>
            </w:pPr>
            <w:r>
              <w:rPr>
                <w:sz w:val="19"/>
              </w:rPr>
              <w:t>Sequential model initialization</w:t>
            </w:r>
          </w:p>
        </w:tc>
        <w:tc>
          <w:tcPr>
            <w:tcW w:type="dxa" w:w="1560"/>
            <w:tcMar>
              <w:top w:w="120" w:type="dxa"/>
              <w:bottom w:w="120" w:type="dxa"/>
              <w:left w:w="150" w:type="dxa"/>
              <w:right w:w="150" w:type="dxa"/>
            </w:tcMar>
            <w:shd w:fill="F2F4F8"/>
          </w:tcPr>
          <w:p>
            <w:pPr>
              <w:spacing w:before="60" w:after="60"/>
            </w:pPr>
            <w:r>
              <w:rPr>
                <w:sz w:val="19"/>
              </w:rPr>
              <w:t>Server boot</w:t>
            </w:r>
          </w:p>
        </w:tc>
        <w:tc>
          <w:tcPr>
            <w:tcW w:type="dxa" w:w="1560"/>
            <w:tcMar>
              <w:top w:w="120" w:type="dxa"/>
              <w:bottom w:w="120" w:type="dxa"/>
              <w:left w:w="150" w:type="dxa"/>
              <w:right w:w="150" w:type="dxa"/>
            </w:tcMar>
            <w:shd w:fill="F2F4F8"/>
          </w:tcPr>
          <w:p>
            <w:pPr>
              <w:spacing w:before="60" w:after="60"/>
            </w:pPr>
            <w:r>
              <w:rPr>
                <w:sz w:val="19"/>
              </w:rPr>
              <w:t>DeBERTa, FLAN-T5, and SBERT load without tensor corruption</w:t>
            </w:r>
          </w:p>
        </w:tc>
        <w:tc>
          <w:tcPr>
            <w:tcW w:type="dxa" w:w="1560"/>
            <w:tcMar>
              <w:top w:w="120" w:type="dxa"/>
              <w:bottom w:w="120" w:type="dxa"/>
              <w:left w:w="150" w:type="dxa"/>
              <w:right w:w="150" w:type="dxa"/>
            </w:tcMar>
            <w:shd w:fill="F2F4F8"/>
          </w:tcPr>
          <w:p>
            <w:pPr>
              <w:spacing w:before="60" w:after="60"/>
            </w:pPr>
            <w:r>
              <w:rPr>
                <w:sz w:val="19"/>
              </w:rPr>
              <w:t>**PASS**</w:t>
            </w:r>
          </w:p>
        </w:tc>
      </w:tr>
      <w:tr>
        <w:tc>
          <w:tcPr>
            <w:tcW w:type="dxa" w:w="1560"/>
            <w:tcMar>
              <w:top w:w="120" w:type="dxa"/>
              <w:bottom w:w="120" w:type="dxa"/>
              <w:left w:w="150" w:type="dxa"/>
              <w:right w:w="150" w:type="dxa"/>
            </w:tcMar>
            <w:shd w:fill="FFFFFF"/>
          </w:tcPr>
          <w:p>
            <w:pPr>
              <w:spacing w:before="60" w:after="60"/>
            </w:pPr>
            <w:r>
              <w:rPr>
                <w:sz w:val="19"/>
              </w:rPr>
              <w:t>**TC-02**</w:t>
            </w:r>
          </w:p>
        </w:tc>
        <w:tc>
          <w:tcPr>
            <w:tcW w:type="dxa" w:w="1560"/>
            <w:tcMar>
              <w:top w:w="120" w:type="dxa"/>
              <w:bottom w:w="120" w:type="dxa"/>
              <w:left w:w="150" w:type="dxa"/>
              <w:right w:w="150" w:type="dxa"/>
            </w:tcMar>
            <w:shd w:fill="FFFFFF"/>
          </w:tcPr>
          <w:p>
            <w:pPr>
              <w:spacing w:before="60" w:after="60"/>
            </w:pPr>
            <w:r>
              <w:rPr>
                <w:sz w:val="19"/>
              </w:rPr>
              <w:t>Bloom Classifier</w:t>
            </w:r>
          </w:p>
        </w:tc>
        <w:tc>
          <w:tcPr>
            <w:tcW w:type="dxa" w:w="1560"/>
            <w:tcMar>
              <w:top w:w="120" w:type="dxa"/>
              <w:bottom w:w="120" w:type="dxa"/>
              <w:left w:w="150" w:type="dxa"/>
              <w:right w:w="150" w:type="dxa"/>
            </w:tcMar>
            <w:shd w:fill="FFFFFF"/>
          </w:tcPr>
          <w:p>
            <w:pPr>
              <w:spacing w:before="60" w:after="60"/>
            </w:pPr>
            <w:r>
              <w:rPr>
                <w:sz w:val="19"/>
              </w:rPr>
              <w:t>Categorize question cognitive level</w:t>
            </w:r>
          </w:p>
        </w:tc>
        <w:tc>
          <w:tcPr>
            <w:tcW w:type="dxa" w:w="1560"/>
            <w:tcMar>
              <w:top w:w="120" w:type="dxa"/>
              <w:bottom w:w="120" w:type="dxa"/>
              <w:left w:w="150" w:type="dxa"/>
              <w:right w:w="150" w:type="dxa"/>
            </w:tcMar>
            <w:shd w:fill="FFFFFF"/>
          </w:tcPr>
          <w:p>
            <w:pPr>
              <w:spacing w:before="60" w:after="60"/>
            </w:pPr>
            <w:r>
              <w:rPr>
                <w:sz w:val="19"/>
              </w:rPr>
              <w:t>"Define database normalization."</w:t>
            </w:r>
          </w:p>
        </w:tc>
        <w:tc>
          <w:tcPr>
            <w:tcW w:type="dxa" w:w="1560"/>
            <w:tcMar>
              <w:top w:w="120" w:type="dxa"/>
              <w:bottom w:w="120" w:type="dxa"/>
              <w:left w:w="150" w:type="dxa"/>
              <w:right w:w="150" w:type="dxa"/>
            </w:tcMar>
            <w:shd w:fill="FFFFFF"/>
          </w:tcPr>
          <w:p>
            <w:pPr>
              <w:spacing w:before="60" w:after="60"/>
            </w:pPr>
            <w:r>
              <w:rPr>
                <w:sz w:val="19"/>
              </w:rPr>
              <w:t>Predicts "Remember" with confidence $&gt;95\%$</w:t>
            </w:r>
          </w:p>
        </w:tc>
        <w:tc>
          <w:tcPr>
            <w:tcW w:type="dxa" w:w="1560"/>
            <w:tcMar>
              <w:top w:w="120" w:type="dxa"/>
              <w:bottom w:w="120" w:type="dxa"/>
              <w:left w:w="150" w:type="dxa"/>
              <w:right w:w="150" w:type="dxa"/>
            </w:tcMar>
            <w:shd w:fill="FFFFFF"/>
          </w:tcPr>
          <w:p>
            <w:pPr>
              <w:spacing w:before="60" w:after="60"/>
            </w:pPr>
            <w:r>
              <w:rPr>
                <w:sz w:val="19"/>
              </w:rPr>
              <w:t>**PASS**</w:t>
            </w:r>
          </w:p>
        </w:tc>
      </w:tr>
      <w:tr>
        <w:tc>
          <w:tcPr>
            <w:tcW w:type="dxa" w:w="1560"/>
            <w:tcMar>
              <w:top w:w="120" w:type="dxa"/>
              <w:bottom w:w="120" w:type="dxa"/>
              <w:left w:w="150" w:type="dxa"/>
              <w:right w:w="150" w:type="dxa"/>
            </w:tcMar>
            <w:shd w:fill="F2F4F8"/>
          </w:tcPr>
          <w:p>
            <w:pPr>
              <w:spacing w:before="60" w:after="60"/>
            </w:pPr>
            <w:r>
              <w:rPr>
                <w:sz w:val="19"/>
              </w:rPr>
              <w:t>**TC-03**</w:t>
            </w:r>
          </w:p>
        </w:tc>
        <w:tc>
          <w:tcPr>
            <w:tcW w:type="dxa" w:w="1560"/>
            <w:tcMar>
              <w:top w:w="120" w:type="dxa"/>
              <w:bottom w:w="120" w:type="dxa"/>
              <w:left w:w="150" w:type="dxa"/>
              <w:right w:w="150" w:type="dxa"/>
            </w:tcMar>
            <w:shd w:fill="F2F4F8"/>
          </w:tcPr>
          <w:p>
            <w:pPr>
              <w:spacing w:before="60" w:after="60"/>
            </w:pPr>
            <w:r>
              <w:rPr>
                <w:sz w:val="19"/>
              </w:rPr>
              <w:t>FLAN Rewriter</w:t>
            </w:r>
          </w:p>
        </w:tc>
        <w:tc>
          <w:tcPr>
            <w:tcW w:type="dxa" w:w="1560"/>
            <w:tcMar>
              <w:top w:w="120" w:type="dxa"/>
              <w:bottom w:w="120" w:type="dxa"/>
              <w:left w:w="150" w:type="dxa"/>
              <w:right w:w="150" w:type="dxa"/>
            </w:tcMar>
            <w:shd w:fill="F2F4F8"/>
          </w:tcPr>
          <w:p>
            <w:pPr>
              <w:spacing w:before="60" w:after="60"/>
            </w:pPr>
            <w:r>
              <w:rPr>
                <w:sz w:val="19"/>
              </w:rPr>
              <w:t>Elevate question to "Analyze"</w:t>
            </w:r>
          </w:p>
        </w:tc>
        <w:tc>
          <w:tcPr>
            <w:tcW w:type="dxa" w:w="1560"/>
            <w:tcMar>
              <w:top w:w="120" w:type="dxa"/>
              <w:bottom w:w="120" w:type="dxa"/>
              <w:left w:w="150" w:type="dxa"/>
              <w:right w:w="150" w:type="dxa"/>
            </w:tcMar>
            <w:shd w:fill="F2F4F8"/>
          </w:tcPr>
          <w:p>
            <w:pPr>
              <w:spacing w:before="60" w:after="60"/>
            </w:pPr>
            <w:r>
              <w:rPr>
                <w:sz w:val="19"/>
              </w:rPr>
              <w:t>Source: Remember, Target: Analyze</w:t>
            </w:r>
          </w:p>
        </w:tc>
        <w:tc>
          <w:tcPr>
            <w:tcW w:type="dxa" w:w="1560"/>
            <w:tcMar>
              <w:top w:w="120" w:type="dxa"/>
              <w:bottom w:w="120" w:type="dxa"/>
              <w:left w:w="150" w:type="dxa"/>
              <w:right w:w="150" w:type="dxa"/>
            </w:tcMar>
            <w:shd w:fill="F2F4F8"/>
          </w:tcPr>
          <w:p>
            <w:pPr>
              <w:spacing w:before="60" w:after="60"/>
            </w:pPr>
            <w:r>
              <w:rPr>
                <w:sz w:val="19"/>
              </w:rPr>
              <w:t>Generates analysis-level question preserving concepts</w:t>
            </w:r>
          </w:p>
        </w:tc>
        <w:tc>
          <w:tcPr>
            <w:tcW w:type="dxa" w:w="1560"/>
            <w:tcMar>
              <w:top w:w="120" w:type="dxa"/>
              <w:bottom w:w="120" w:type="dxa"/>
              <w:left w:w="150" w:type="dxa"/>
              <w:right w:w="150" w:type="dxa"/>
            </w:tcMar>
            <w:shd w:fill="F2F4F8"/>
          </w:tcPr>
          <w:p>
            <w:pPr>
              <w:spacing w:before="60" w:after="60"/>
            </w:pPr>
            <w:r>
              <w:rPr>
                <w:sz w:val="19"/>
              </w:rPr>
              <w:t>**PASS**</w:t>
            </w:r>
          </w:p>
        </w:tc>
      </w:tr>
      <w:tr>
        <w:tc>
          <w:tcPr>
            <w:tcW w:type="dxa" w:w="1560"/>
            <w:tcMar>
              <w:top w:w="120" w:type="dxa"/>
              <w:bottom w:w="120" w:type="dxa"/>
              <w:left w:w="150" w:type="dxa"/>
              <w:right w:w="150" w:type="dxa"/>
            </w:tcMar>
            <w:shd w:fill="FFFFFF"/>
          </w:tcPr>
          <w:p>
            <w:pPr>
              <w:spacing w:before="60" w:after="60"/>
            </w:pPr>
            <w:r>
              <w:rPr>
                <w:sz w:val="19"/>
              </w:rPr>
              <w:t>**TC-04**</w:t>
            </w:r>
          </w:p>
        </w:tc>
        <w:tc>
          <w:tcPr>
            <w:tcW w:type="dxa" w:w="1560"/>
            <w:tcMar>
              <w:top w:w="120" w:type="dxa"/>
              <w:bottom w:w="120" w:type="dxa"/>
              <w:left w:w="150" w:type="dxa"/>
              <w:right w:w="150" w:type="dxa"/>
            </w:tcMar>
            <w:shd w:fill="FFFFFF"/>
          </w:tcPr>
          <w:p>
            <w:pPr>
              <w:spacing w:before="60" w:after="60"/>
            </w:pPr>
            <w:r>
              <w:rPr>
                <w:sz w:val="19"/>
              </w:rPr>
              <w:t>Concept Validator</w:t>
            </w:r>
          </w:p>
        </w:tc>
        <w:tc>
          <w:tcPr>
            <w:tcW w:type="dxa" w:w="1560"/>
            <w:tcMar>
              <w:top w:w="120" w:type="dxa"/>
              <w:bottom w:w="120" w:type="dxa"/>
              <w:left w:w="150" w:type="dxa"/>
              <w:right w:w="150" w:type="dxa"/>
            </w:tcMar>
            <w:shd w:fill="FFFFFF"/>
          </w:tcPr>
          <w:p>
            <w:pPr>
              <w:spacing w:before="60" w:after="60"/>
            </w:pPr>
            <w:r>
              <w:rPr>
                <w:sz w:val="19"/>
              </w:rPr>
              <w:t>Check noun chunk retention</w:t>
            </w:r>
          </w:p>
        </w:tc>
        <w:tc>
          <w:tcPr>
            <w:tcW w:type="dxa" w:w="1560"/>
            <w:tcMar>
              <w:top w:w="120" w:type="dxa"/>
              <w:bottom w:w="120" w:type="dxa"/>
              <w:left w:w="150" w:type="dxa"/>
              <w:right w:w="150" w:type="dxa"/>
            </w:tcMar>
            <w:shd w:fill="FFFFFF"/>
          </w:tcPr>
          <w:p>
            <w:pPr>
              <w:spacing w:before="60" w:after="60"/>
            </w:pPr>
            <w:r>
              <w:rPr>
                <w:sz w:val="19"/>
              </w:rPr>
              <w:t>Original vs. Transformed question</w:t>
            </w:r>
          </w:p>
        </w:tc>
        <w:tc>
          <w:tcPr>
            <w:tcW w:type="dxa" w:w="1560"/>
            <w:tcMar>
              <w:top w:w="120" w:type="dxa"/>
              <w:bottom w:w="120" w:type="dxa"/>
              <w:left w:w="150" w:type="dxa"/>
              <w:right w:w="150" w:type="dxa"/>
            </w:tcMar>
            <w:shd w:fill="FFFFFF"/>
          </w:tcPr>
          <w:p>
            <w:pPr>
              <w:spacing w:before="60" w:after="60"/>
            </w:pPr>
            <w:r>
              <w:rPr>
                <w:sz w:val="19"/>
              </w:rPr>
              <w:t>Rejects candidate if core noun chunk is missing</w:t>
            </w:r>
          </w:p>
        </w:tc>
        <w:tc>
          <w:tcPr>
            <w:tcW w:type="dxa" w:w="1560"/>
            <w:tcMar>
              <w:top w:w="120" w:type="dxa"/>
              <w:bottom w:w="120" w:type="dxa"/>
              <w:left w:w="150" w:type="dxa"/>
              <w:right w:w="150" w:type="dxa"/>
            </w:tcMar>
            <w:shd w:fill="FFFFFF"/>
          </w:tcPr>
          <w:p>
            <w:pPr>
              <w:spacing w:before="60" w:after="60"/>
            </w:pPr>
            <w:r>
              <w:rPr>
                <w:sz w:val="19"/>
              </w:rPr>
              <w:t>**PASS**</w:t>
            </w:r>
          </w:p>
        </w:tc>
      </w:tr>
      <w:tr>
        <w:tc>
          <w:tcPr>
            <w:tcW w:type="dxa" w:w="1560"/>
            <w:tcMar>
              <w:top w:w="120" w:type="dxa"/>
              <w:bottom w:w="120" w:type="dxa"/>
              <w:left w:w="150" w:type="dxa"/>
              <w:right w:w="150" w:type="dxa"/>
            </w:tcMar>
            <w:shd w:fill="F2F4F8"/>
          </w:tcPr>
          <w:p>
            <w:pPr>
              <w:spacing w:before="60" w:after="60"/>
            </w:pPr>
            <w:r>
              <w:rPr>
                <w:sz w:val="19"/>
              </w:rPr>
              <w:t>**TC-05**</w:t>
            </w:r>
          </w:p>
        </w:tc>
        <w:tc>
          <w:tcPr>
            <w:tcW w:type="dxa" w:w="1560"/>
            <w:tcMar>
              <w:top w:w="120" w:type="dxa"/>
              <w:bottom w:w="120" w:type="dxa"/>
              <w:left w:w="150" w:type="dxa"/>
              <w:right w:w="150" w:type="dxa"/>
            </w:tcMar>
            <w:shd w:fill="F2F4F8"/>
          </w:tcPr>
          <w:p>
            <w:pPr>
              <w:spacing w:before="60" w:after="60"/>
            </w:pPr>
            <w:r>
              <w:rPr>
                <w:sz w:val="19"/>
              </w:rPr>
              <w:t>Duplicate Validator</w:t>
            </w:r>
          </w:p>
        </w:tc>
        <w:tc>
          <w:tcPr>
            <w:tcW w:type="dxa" w:w="1560"/>
            <w:tcMar>
              <w:top w:w="120" w:type="dxa"/>
              <w:bottom w:w="120" w:type="dxa"/>
              <w:left w:w="150" w:type="dxa"/>
              <w:right w:w="150" w:type="dxa"/>
            </w:tcMar>
            <w:shd w:fill="F2F4F8"/>
          </w:tcPr>
          <w:p>
            <w:pPr>
              <w:spacing w:before="60" w:after="60"/>
            </w:pPr>
            <w:r>
              <w:rPr>
                <w:sz w:val="19"/>
              </w:rPr>
              <w:t>Filter structural duplicates</w:t>
            </w:r>
          </w:p>
        </w:tc>
        <w:tc>
          <w:tcPr>
            <w:tcW w:type="dxa" w:w="1560"/>
            <w:tcMar>
              <w:top w:w="120" w:type="dxa"/>
              <w:bottom w:w="120" w:type="dxa"/>
              <w:left w:w="150" w:type="dxa"/>
              <w:right w:w="150" w:type="dxa"/>
            </w:tcMar>
            <w:shd w:fill="F2F4F8"/>
          </w:tcPr>
          <w:p>
            <w:pPr>
              <w:spacing w:before="60" w:after="60"/>
            </w:pPr>
            <w:r>
              <w:rPr>
                <w:sz w:val="19"/>
              </w:rPr>
              <w:t>Re-submit exact same question</w:t>
            </w:r>
          </w:p>
        </w:tc>
        <w:tc>
          <w:tcPr>
            <w:tcW w:type="dxa" w:w="1560"/>
            <w:tcMar>
              <w:top w:w="120" w:type="dxa"/>
              <w:bottom w:w="120" w:type="dxa"/>
              <w:left w:w="150" w:type="dxa"/>
              <w:right w:w="150" w:type="dxa"/>
            </w:tcMar>
            <w:shd w:fill="F2F4F8"/>
          </w:tcPr>
          <w:p>
            <w:pPr>
              <w:spacing w:before="60" w:after="60"/>
            </w:pPr>
            <w:r>
              <w:rPr>
                <w:sz w:val="19"/>
              </w:rPr>
              <w:t>Flagged as "Duplicate" and rejected</w:t>
            </w:r>
          </w:p>
        </w:tc>
        <w:tc>
          <w:tcPr>
            <w:tcW w:type="dxa" w:w="1560"/>
            <w:tcMar>
              <w:top w:w="120" w:type="dxa"/>
              <w:bottom w:w="120" w:type="dxa"/>
              <w:left w:w="150" w:type="dxa"/>
              <w:right w:w="150" w:type="dxa"/>
            </w:tcMar>
            <w:shd w:fill="F2F4F8"/>
          </w:tcPr>
          <w:p>
            <w:pPr>
              <w:spacing w:before="60" w:after="60"/>
            </w:pPr>
            <w:r>
              <w:rPr>
                <w:sz w:val="19"/>
              </w:rPr>
              <w:t>**PASS**</w:t>
            </w:r>
          </w:p>
        </w:tc>
      </w:tr>
      <w:tr>
        <w:tc>
          <w:tcPr>
            <w:tcW w:type="dxa" w:w="1560"/>
            <w:tcMar>
              <w:top w:w="120" w:type="dxa"/>
              <w:bottom w:w="120" w:type="dxa"/>
              <w:left w:w="150" w:type="dxa"/>
              <w:right w:w="150" w:type="dxa"/>
            </w:tcMar>
            <w:shd w:fill="FFFFFF"/>
          </w:tcPr>
          <w:p>
            <w:pPr>
              <w:spacing w:before="60" w:after="60"/>
            </w:pPr>
            <w:r>
              <w:rPr>
                <w:sz w:val="19"/>
              </w:rPr>
              <w:t>**TC-06**</w:t>
            </w:r>
          </w:p>
        </w:tc>
        <w:tc>
          <w:tcPr>
            <w:tcW w:type="dxa" w:w="1560"/>
            <w:tcMar>
              <w:top w:w="120" w:type="dxa"/>
              <w:bottom w:w="120" w:type="dxa"/>
              <w:left w:w="150" w:type="dxa"/>
              <w:right w:w="150" w:type="dxa"/>
            </w:tcMar>
            <w:shd w:fill="FFFFFF"/>
          </w:tcPr>
          <w:p>
            <w:pPr>
              <w:spacing w:before="60" w:after="60"/>
            </w:pPr>
            <w:r>
              <w:rPr>
                <w:sz w:val="19"/>
              </w:rPr>
              <w:t>Bulk Ingestion</w:t>
            </w:r>
          </w:p>
        </w:tc>
        <w:tc>
          <w:tcPr>
            <w:tcW w:type="dxa" w:w="1560"/>
            <w:tcMar>
              <w:top w:w="120" w:type="dxa"/>
              <w:bottom w:w="120" w:type="dxa"/>
              <w:left w:w="150" w:type="dxa"/>
              <w:right w:w="150" w:type="dxa"/>
            </w:tcMar>
            <w:shd w:fill="FFFFFF"/>
          </w:tcPr>
          <w:p>
            <w:pPr>
              <w:spacing w:before="60" w:after="60"/>
            </w:pPr>
            <w:r>
              <w:rPr>
                <w:sz w:val="19"/>
              </w:rPr>
              <w:t>Parse Excel batch upload</w:t>
            </w:r>
          </w:p>
        </w:tc>
        <w:tc>
          <w:tcPr>
            <w:tcW w:type="dxa" w:w="1560"/>
            <w:tcMar>
              <w:top w:w="120" w:type="dxa"/>
              <w:bottom w:w="120" w:type="dxa"/>
              <w:left w:w="150" w:type="dxa"/>
              <w:right w:w="150" w:type="dxa"/>
            </w:tcMar>
            <w:shd w:fill="FFFFFF"/>
          </w:tcPr>
          <w:p>
            <w:pPr>
              <w:spacing w:before="60" w:after="60"/>
            </w:pPr>
            <w:r>
              <w:rPr>
                <w:sz w:val="19"/>
              </w:rPr>
              <w:t>Upload `.xlsx` file with 50 questions</w:t>
            </w:r>
          </w:p>
        </w:tc>
        <w:tc>
          <w:tcPr>
            <w:tcW w:type="dxa" w:w="1560"/>
            <w:tcMar>
              <w:top w:w="120" w:type="dxa"/>
              <w:bottom w:w="120" w:type="dxa"/>
              <w:left w:w="150" w:type="dxa"/>
              <w:right w:w="150" w:type="dxa"/>
            </w:tcMar>
            <w:shd w:fill="FFFFFF"/>
          </w:tcPr>
          <w:p>
            <w:pPr>
              <w:spacing w:before="60" w:after="60"/>
            </w:pPr>
            <w:r>
              <w:rPr>
                <w:sz w:val="19"/>
              </w:rPr>
              <w:t>Processes all 50 items and renders table summary</w:t>
            </w:r>
          </w:p>
        </w:tc>
        <w:tc>
          <w:tcPr>
            <w:tcW w:type="dxa" w:w="1560"/>
            <w:tcMar>
              <w:top w:w="120" w:type="dxa"/>
              <w:bottom w:w="120" w:type="dxa"/>
              <w:left w:w="150" w:type="dxa"/>
              <w:right w:w="150" w:type="dxa"/>
            </w:tcMar>
            <w:shd w:fill="FFFFFF"/>
          </w:tcPr>
          <w:p>
            <w:pPr>
              <w:spacing w:before="60" w:after="60"/>
            </w:pPr>
            <w:r>
              <w:rPr>
                <w:sz w:val="19"/>
              </w:rPr>
              <w:t>**PASS**</w:t>
            </w:r>
          </w:p>
        </w:tc>
      </w:tr>
      <w:tr>
        <w:tc>
          <w:tcPr>
            <w:tcW w:type="dxa" w:w="1560"/>
            <w:tcMar>
              <w:top w:w="120" w:type="dxa"/>
              <w:bottom w:w="120" w:type="dxa"/>
              <w:left w:w="150" w:type="dxa"/>
              <w:right w:w="150" w:type="dxa"/>
            </w:tcMar>
            <w:shd w:fill="F2F4F8"/>
          </w:tcPr>
          <w:p>
            <w:pPr>
              <w:spacing w:before="60" w:after="60"/>
            </w:pPr>
            <w:r>
              <w:rPr>
                <w:sz w:val="19"/>
              </w:rPr>
              <w:t>**TC-07**</w:t>
            </w:r>
          </w:p>
        </w:tc>
        <w:tc>
          <w:tcPr>
            <w:tcW w:type="dxa" w:w="1560"/>
            <w:tcMar>
              <w:top w:w="120" w:type="dxa"/>
              <w:bottom w:w="120" w:type="dxa"/>
              <w:left w:w="150" w:type="dxa"/>
              <w:right w:w="150" w:type="dxa"/>
            </w:tcMar>
            <w:shd w:fill="F2F4F8"/>
          </w:tcPr>
          <w:p>
            <w:pPr>
              <w:spacing w:before="60" w:after="60"/>
            </w:pPr>
            <w:r>
              <w:rPr>
                <w:sz w:val="19"/>
              </w:rPr>
              <w:t>Document Export</w:t>
            </w:r>
          </w:p>
        </w:tc>
        <w:tc>
          <w:tcPr>
            <w:tcW w:type="dxa" w:w="1560"/>
            <w:tcMar>
              <w:top w:w="120" w:type="dxa"/>
              <w:bottom w:w="120" w:type="dxa"/>
              <w:left w:w="150" w:type="dxa"/>
              <w:right w:w="150" w:type="dxa"/>
            </w:tcMar>
            <w:shd w:fill="F2F4F8"/>
          </w:tcPr>
          <w:p>
            <w:pPr>
              <w:spacing w:before="60" w:after="60"/>
            </w:pPr>
            <w:r>
              <w:rPr>
                <w:sz w:val="19"/>
              </w:rPr>
              <w:t>Export results to PDF / Word</w:t>
            </w:r>
          </w:p>
        </w:tc>
        <w:tc>
          <w:tcPr>
            <w:tcW w:type="dxa" w:w="1560"/>
            <w:tcMar>
              <w:top w:w="120" w:type="dxa"/>
              <w:bottom w:w="120" w:type="dxa"/>
              <w:left w:w="150" w:type="dxa"/>
              <w:right w:w="150" w:type="dxa"/>
            </w:tcMar>
            <w:shd w:fill="F2F4F8"/>
          </w:tcPr>
          <w:p>
            <w:pPr>
              <w:spacing w:before="60" w:after="60"/>
            </w:pPr>
            <w:r>
              <w:rPr>
                <w:sz w:val="19"/>
              </w:rPr>
              <w:t>Click Export PDF</w:t>
            </w:r>
          </w:p>
        </w:tc>
        <w:tc>
          <w:tcPr>
            <w:tcW w:type="dxa" w:w="1560"/>
            <w:tcMar>
              <w:top w:w="120" w:type="dxa"/>
              <w:bottom w:w="120" w:type="dxa"/>
              <w:left w:w="150" w:type="dxa"/>
              <w:right w:w="150" w:type="dxa"/>
            </w:tcMar>
            <w:shd w:fill="F2F4F8"/>
          </w:tcPr>
          <w:p>
            <w:pPr>
              <w:spacing w:before="60" w:after="60"/>
            </w:pPr>
            <w:r>
              <w:rPr>
                <w:sz w:val="19"/>
              </w:rPr>
              <w:t>Downloads valid `.pdf` containing questions &amp; scores</w:t>
            </w:r>
          </w:p>
        </w:tc>
        <w:tc>
          <w:tcPr>
            <w:tcW w:type="dxa" w:w="1560"/>
            <w:tcMar>
              <w:top w:w="120" w:type="dxa"/>
              <w:bottom w:w="120" w:type="dxa"/>
              <w:left w:w="150" w:type="dxa"/>
              <w:right w:w="150" w:type="dxa"/>
            </w:tcMar>
            <w:shd w:fill="F2F4F8"/>
          </w:tcPr>
          <w:p>
            <w:pPr>
              <w:spacing w:before="60" w:after="60"/>
            </w:pPr>
            <w:r>
              <w:rPr>
                <w:sz w:val="19"/>
              </w:rPr>
              <w:t>**PASS**</w:t>
            </w:r>
          </w:p>
        </w:tc>
      </w:tr>
    </w:tbl>
    <w:p/>
    <w:p>
      <w:pPr>
        <w:keepNext/>
        <w:spacing w:before="360" w:after="240"/>
      </w:pPr>
      <w:r>
        <w:rPr>
          <w:rFonts w:ascii="Arial" w:hAnsi="Arial"/>
          <w:b/>
          <w:color w:val="1F4E78"/>
          <w:sz w:val="40"/>
        </w:rPr>
        <w:t>CHAPTER 9: SDG MAPPING</w:t>
      </w:r>
    </w:p>
    <w:p>
      <w:pPr>
        <w:keepNext/>
        <w:spacing w:before="280" w:after="120"/>
      </w:pPr>
      <w:r>
        <w:rPr>
          <w:rFonts w:ascii="Arial" w:hAnsi="Arial"/>
          <w:b/>
          <w:color w:val="2E75B6"/>
          <w:sz w:val="30"/>
        </w:rPr>
        <w:t>9.1 Selected SDG Goal(s)</w:t>
      </w:r>
    </w:p>
    <w:p>
      <w:pPr>
        <w:spacing w:before="60" w:after="120" w:line="276" w:lineRule="auto"/>
      </w:pPr>
      <w:r>
        <w:t xml:space="preserve">BloomEngine aligns directly with </w:t>
      </w:r>
      <w:r>
        <w:rPr>
          <w:b/>
        </w:rPr>
        <w:t>UN Sustainable Development Goals (SDGs)</w:t>
      </w:r>
      <w:r>
        <w:t>:</w:t>
      </w:r>
    </w:p>
    <w:p>
      <w:pPr>
        <w:pStyle w:val="ListBullet"/>
        <w:spacing w:before="40" w:after="40"/>
      </w:pPr>
      <w:r/>
      <w:r>
        <w:rPr>
          <w:b/>
        </w:rPr>
        <w:t>SDG 4: Quality Education</w:t>
      </w:r>
      <w:r>
        <w:t xml:space="preserve"> (Ensure inclusive and equitable quality education and promote lifelong learning opportunities for all).</w:t>
      </w:r>
    </w:p>
    <w:p>
      <w:pPr>
        <w:pStyle w:val="ListBullet"/>
        <w:spacing w:before="40" w:after="40"/>
      </w:pPr>
      <w:r/>
      <w:r>
        <w:rPr>
          <w:b/>
        </w:rPr>
        <w:t>SDG 9: Industry, Innovation, and Infrastructure</w:t>
      </w:r>
      <w:r>
        <w:t xml:space="preserve"> (Foster innovation and upgrade technological capabilities).</w:t>
      </w:r>
    </w:p>
    <w:p>
      <w:pPr>
        <w:keepNext/>
        <w:spacing w:before="280" w:after="120"/>
      </w:pPr>
      <w:r>
        <w:rPr>
          <w:rFonts w:ascii="Arial" w:hAnsi="Arial"/>
          <w:b/>
          <w:color w:val="2E75B6"/>
          <w:sz w:val="30"/>
        </w:rPr>
        <w:t>9.2 Specific Targets Addressed</w:t>
      </w:r>
    </w:p>
    <w:p>
      <w:pPr>
        <w:pStyle w:val="ListBullet"/>
        <w:spacing w:before="40" w:after="40"/>
      </w:pPr>
      <w:r/>
      <w:r>
        <w:rPr>
          <w:b/>
        </w:rPr>
        <w:t>Target 4.4</w:t>
      </w:r>
      <w:r>
        <w:t>: Increase the number of youth and adults who have relevant technical and vocational skills.</w:t>
      </w:r>
    </w:p>
    <w:p>
      <w:pPr>
        <w:pStyle w:val="ListBullet"/>
        <w:spacing w:before="40" w:after="40"/>
      </w:pPr>
      <w:r/>
      <w:r>
        <w:rPr>
          <w:b/>
        </w:rPr>
        <w:t>Target 9.5</w:t>
      </w:r>
      <w:r>
        <w:t>: Enhance scientific research and upgrade technological capabilities in educational infrastructure.</w:t>
      </w:r>
    </w:p>
    <w:p>
      <w:pPr>
        <w:keepNext/>
        <w:spacing w:before="280" w:after="120"/>
      </w:pPr>
      <w:r>
        <w:rPr>
          <w:rFonts w:ascii="Arial" w:hAnsi="Arial"/>
          <w:b/>
          <w:color w:val="2E75B6"/>
          <w:sz w:val="30"/>
        </w:rPr>
        <w:t>9.3 Social Impact</w:t>
      </w:r>
    </w:p>
    <w:p>
      <w:pPr>
        <w:spacing w:before="60" w:after="120" w:line="276" w:lineRule="auto"/>
      </w:pPr>
      <w:r>
        <w:t>BloomEngine democratizes high-quality academic question generation, enabling educators to easily build rigorous evaluation instruments that cultivate higher-order critical thinking skills.</w:t>
      </w:r>
    </w:p>
    <w:p>
      <w:pPr>
        <w:keepNext/>
        <w:spacing w:before="280" w:after="120"/>
      </w:pPr>
      <w:r>
        <w:rPr>
          <w:rFonts w:ascii="Arial" w:hAnsi="Arial"/>
          <w:b/>
          <w:color w:val="2E75B6"/>
          <w:sz w:val="30"/>
        </w:rPr>
        <w:t>9.4 Environmental Sustainability</w:t>
      </w:r>
    </w:p>
    <w:p>
      <w:pPr>
        <w:spacing w:before="60" w:after="120" w:line="276" w:lineRule="auto"/>
      </w:pPr>
      <w:r>
        <w:t>By operating local GPU/CPU inference without continuous multi-billion parameter cloud calls, BloomEngine minimizes energy consumption and carbon footprint compared to proprietary large language model APIs.</w:t>
      </w:r>
    </w:p>
    <w:p>
      <w:pPr>
        <w:keepNext/>
        <w:spacing w:before="280" w:after="120"/>
      </w:pPr>
      <w:r>
        <w:rPr>
          <w:rFonts w:ascii="Arial" w:hAnsi="Arial"/>
          <w:b/>
          <w:color w:val="2E75B6"/>
          <w:sz w:val="30"/>
        </w:rPr>
        <w:t>9.5 Innovation Relevance</w:t>
      </w:r>
    </w:p>
    <w:p>
      <w:pPr>
        <w:spacing w:before="60" w:after="120" w:line="276" w:lineRule="auto"/>
      </w:pPr>
      <w:r>
        <w:t>The system demonstrates practical application of fine-tuned transformer architectures combined with deterministic NLP validation rules in academic technology.</w:t>
      </w:r>
    </w:p>
    <w:p>
      <w:pPr>
        <w:keepNext/>
        <w:spacing w:before="360" w:after="240"/>
      </w:pPr>
      <w:r>
        <w:rPr>
          <w:rFonts w:ascii="Arial" w:hAnsi="Arial"/>
          <w:b/>
          <w:color w:val="1F4E78"/>
          <w:sz w:val="40"/>
        </w:rPr>
        <w:t>CHAPTER 10: CONCLUSION</w:t>
      </w:r>
    </w:p>
    <w:p>
      <w:pPr>
        <w:spacing w:before="60" w:after="120" w:line="276" w:lineRule="auto"/>
      </w:pPr>
      <w:r>
        <w:t>BloomEngine successfully demonstrates a production-grade, university-aligned solution for automated Bloom Taxonomy classification and difficulty-aware question transformation. By combining fine-tuned DeBERTa-v3 sequence classification, fine-tuned FLAN-T5 sequence generation, spaCy linguistic parsing, and a 7-stage modular validation engine, the system achieves an 85.00% validation pass rate, 100.00% Bloom exact match accuracy, and 100.00% concept preservation on benchmark evaluations.</w:t>
      </w:r>
    </w:p>
    <w:p>
      <w:pPr>
        <w:spacing w:before="60" w:after="120" w:line="276" w:lineRule="auto"/>
      </w:pPr>
      <w:r>
        <w:t>Future enhancements include extending zero-shot topic classification, introducing automated distractor generation for multiple-choice items, and integrating lightweight local LLMs via Ollama backends.</w:t>
      </w:r>
    </w:p>
    <w:p>
      <w:pPr>
        <w:keepNext/>
        <w:spacing w:before="360" w:after="240"/>
      </w:pPr>
      <w:r>
        <w:rPr>
          <w:rFonts w:ascii="Arial" w:hAnsi="Arial"/>
          <w:b/>
          <w:color w:val="1F4E78"/>
          <w:sz w:val="40"/>
        </w:rPr>
        <w:t>CHAPTER 11: BIBLIOGRAPHY</w:t>
      </w:r>
    </w:p>
    <w:p>
      <w:pPr>
        <w:pStyle w:val="ListNumber"/>
        <w:spacing w:before="40" w:after="40"/>
      </w:pPr>
      <w:r>
        <w:t>Anderson, L. W., &amp; Krathwohl, D. R. (2001). *A Taxonomy for Learning, Teaching, and Assessing: A Revision of Bloom's Taxonomy of Educational Objectives*. Longman.</w:t>
      </w:r>
    </w:p>
    <w:p>
      <w:pPr>
        <w:pStyle w:val="ListNumber"/>
        <w:spacing w:before="40" w:after="40"/>
      </w:pPr>
      <w:r>
        <w:t>Chung, H. W., Hou, L., Longpre, S., Zoph, B., Tay, Y., Fedus, W., ... &amp; Wei, J. (2022). Scaling instruction-finetuned language models. *arXiv preprint arXiv:2210.11416*.</w:t>
      </w:r>
    </w:p>
    <w:p>
      <w:pPr>
        <w:pStyle w:val="ListNumber"/>
        <w:spacing w:before="40" w:after="40"/>
      </w:pPr>
      <w:r>
        <w:t>Devlin, J., Chang, M. W., Lee, K., &amp; Toutanova, K. (2019). BERT: Pre-training of deep bidirectional transformers for language understanding. *NAACL-HLT*.</w:t>
      </w:r>
    </w:p>
    <w:p>
      <w:pPr>
        <w:pStyle w:val="ListNumber"/>
        <w:spacing w:before="40" w:after="40"/>
      </w:pPr>
      <w:r>
        <w:t>He, P., Liu, X., Gao, J., &amp; Chen, W. (2021). DeBERTa: Decoding-enhanced BERT with disentangled attention. *ICLR*.</w:t>
      </w:r>
    </w:p>
    <w:p>
      <w:pPr>
        <w:pStyle w:val="ListNumber"/>
        <w:spacing w:before="40" w:after="40"/>
      </w:pPr>
      <w:r>
        <w:t>Heilman, M., &amp; Smith, N. A. (2010). Good question! Statistical ranking for automated question generation. *NAACL-HLT*.</w:t>
      </w:r>
    </w:p>
    <w:p>
      <w:pPr>
        <w:pStyle w:val="ListNumber"/>
        <w:spacing w:before="40" w:after="40"/>
      </w:pPr>
      <w:r>
        <w:t>Kurdi, G., Leo, J., Parsia, B., Sattler, U., &amp; Al-Emroni, R. (2020). A systematic review of automatic question generation for educational purposes. *International Journal of Artificial Intelligence in Education*, 30(1), 121-204.</w:t>
      </w:r>
    </w:p>
    <w:p>
      <w:pPr>
        <w:pStyle w:val="ListNumber"/>
        <w:spacing w:before="40" w:after="40"/>
      </w:pPr>
      <w:r>
        <w:t>Reimers, N., &amp; Gurevych, I. (2019). Sentence-BERT: Sentence embeddings using Siamese BERT-networks. *EMNLP-IJCNLP*.</w:t>
      </w:r>
    </w:p>
    <w:p>
      <w:pPr>
        <w:keepNext/>
        <w:spacing w:before="360" w:after="240"/>
      </w:pPr>
      <w:r>
        <w:rPr>
          <w:rFonts w:ascii="Arial" w:hAnsi="Arial"/>
          <w:b/>
          <w:color w:val="1F4E78"/>
          <w:sz w:val="40"/>
        </w:rPr>
        <w:t>CHAPTER 12: APPENDIX</w:t>
      </w:r>
    </w:p>
    <w:p>
      <w:pPr>
        <w:keepNext/>
        <w:spacing w:before="280" w:after="120"/>
      </w:pPr>
      <w:r>
        <w:rPr>
          <w:rFonts w:ascii="Arial" w:hAnsi="Arial"/>
          <w:b/>
          <w:color w:val="2E75B6"/>
          <w:sz w:val="30"/>
        </w:rPr>
        <w:t>Appendix A: Core Rephrasing Route Handler (`app.py`)</w:t>
      </w:r>
    </w:p>
    <w:p>
      <w:pPr>
        <w:spacing w:before="80" w:after="80"/>
        <w:ind w:left="576" w:right="576"/>
      </w:pPr>
      <w:r>
        <w:rPr>
          <w:rFonts w:ascii="Consolas" w:hAnsi="Consolas"/>
          <w:color w:val="1F4E78"/>
          <w:sz w:val="18"/>
        </w:rPr>
        <w:t>@app.route("/rephrase", methods=["POST"])</w:t>
        <w:br/>
        <w:t>def rephrase():</w:t>
        <w:br/>
        <w:t xml:space="preserve">    data = request.json</w:t>
        <w:br/>
        <w:t xml:space="preserve">    question = data.get("question")</w:t>
        <w:br/>
        <w:t xml:space="preserve">    target_difficulty = data.get("target_difficulty")</w:t>
        <w:br/>
        <w:br/>
        <w:t xml:space="preserve">    if not question or not target_difficulty:</w:t>
        <w:br/>
        <w:t xml:space="preserve">        return jsonify({"error": "Question and target difficulty required."}), 400</w:t>
        <w:br/>
        <w:br/>
        <w:t xml:space="preserve">    cleaned_q = clean_source_question(question)</w:t>
        <w:br/>
        <w:t xml:space="preserve">    required_concept = normalize_academic_concept(cleaned_q)</w:t>
        <w:br/>
        <w:t xml:space="preserve">    src_bloom, src_diff, _ = classify_text(cleaned_q)</w:t>
        <w:br/>
        <w:t xml:space="preserve">    target_blooms = DIFFICULTY_TO_BLOOM.get(target_difficulty, ["Medium"])</w:t>
        <w:br/>
        <w:br/>
        <w:t xml:space="preserve">    domain = infer_domain(cleaned_q, required_concept)</w:t>
        <w:br/>
        <w:t xml:space="preserve">    variants_to_return = []</w:t>
        <w:br/>
        <w:br/>
        <w:t xml:space="preserve">    for target_bloom in target_blooms:</w:t>
        <w:br/>
        <w:t xml:space="preserve">        result = generate_validated_variant(</w:t>
        <w:br/>
        <w:t xml:space="preserve">            question=cleaned_q,</w:t>
        <w:br/>
        <w:t xml:space="preserve">            src_bloom=src_bloom,</w:t>
        <w:br/>
        <w:t xml:space="preserve">            src_diff=src_diff,</w:t>
        <w:br/>
        <w:t xml:space="preserve">            target_bloom=target_bloom,</w:t>
        <w:br/>
        <w:t xml:space="preserve">            target_difficulty=target_difficulty,</w:t>
        <w:br/>
        <w:t xml:space="preserve">            domain=domain,</w:t>
        <w:br/>
        <w:t xml:space="preserve">            required_concept=required_concept,</w:t>
        <w:br/>
        <w:t xml:space="preserve">            session_seen=session.get("seen_variants", []),</w:t>
        <w:br/>
        <w:t xml:space="preserve">        )</w:t>
        <w:br/>
        <w:t xml:space="preserve">        variants_to_return.append({</w:t>
        <w:br/>
        <w:t xml:space="preserve">            "question": result.generated_question,</w:t>
        <w:br/>
        <w:t xml:space="preserve">            "target_bloom": result.target_bloom,</w:t>
        <w:br/>
        <w:t xml:space="preserve">            "target_difficulty": result.target_difficulty,</w:t>
        <w:br/>
        <w:t xml:space="preserve">            "predicted_bloom": result.predicted_bloom,</w:t>
        <w:br/>
        <w:t xml:space="preserve">            "confidence": result.confidence,</w:t>
        <w:br/>
        <w:t xml:space="preserve">            "validation_status": result.validation_status,</w:t>
        <w:br/>
        <w:t xml:space="preserve">            "explanation": result.explanation,</w:t>
        <w:br/>
        <w:t xml:space="preserve">        })</w:t>
        <w:br/>
        <w:br/>
        <w:t xml:space="preserve">    return jsonify({"original_question": question, "variants": variants_to_return})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