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4CF8" w14:textId="763F16E1" w:rsidR="0007329A" w:rsidRPr="0007329A" w:rsidRDefault="002C33F6" w:rsidP="00531127">
      <w:pPr>
        <w:rPr>
          <w:b/>
          <w:bCs/>
          <w:sz w:val="36"/>
          <w:szCs w:val="36"/>
        </w:rPr>
      </w:pPr>
      <w:r w:rsidRPr="002C33F6">
        <w:rPr>
          <w:b/>
          <w:bCs/>
          <w:sz w:val="36"/>
          <w:szCs w:val="36"/>
        </w:rPr>
        <w:t>Business Insights Report – Marketing Campaign EDA</w:t>
      </w:r>
    </w:p>
    <w:p w14:paraId="6A14C5CF" w14:textId="77777777" w:rsidR="002C33F6" w:rsidRPr="00DE075B" w:rsidRDefault="002C33F6" w:rsidP="005311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75B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39F582C5" w14:textId="77777777" w:rsidR="002C33F6" w:rsidRPr="00DE075B" w:rsidRDefault="002C33F6" w:rsidP="00531127">
      <w:pPr>
        <w:jc w:val="both"/>
        <w:rPr>
          <w:rFonts w:ascii="Times New Roman" w:hAnsi="Times New Roman" w:cs="Times New Roman"/>
          <w:sz w:val="24"/>
          <w:szCs w:val="24"/>
        </w:rPr>
      </w:pPr>
      <w:r w:rsidRPr="00DE075B">
        <w:rPr>
          <w:rFonts w:ascii="Times New Roman" w:hAnsi="Times New Roman" w:cs="Times New Roman"/>
          <w:sz w:val="24"/>
          <w:szCs w:val="24"/>
        </w:rPr>
        <w:t>The objective of this analysis is to perform Exploratory Data Analysis (EDA) on a marketing campaign dataset and identify which advertising platforms and channels demonstrate the strongest performance and cost efficiency. The analysis focuses on understanding campaign effectiveness and providing data-driven budget allocation recommendations without using a Machine Learning model.</w:t>
      </w:r>
    </w:p>
    <w:p w14:paraId="4F017B23" w14:textId="77777777" w:rsidR="00DE075B" w:rsidRPr="00DE075B" w:rsidRDefault="00DE075B" w:rsidP="005311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A6A0FA" w14:textId="77777777" w:rsidR="002C33F6" w:rsidRPr="00DE075B" w:rsidRDefault="002C33F6" w:rsidP="005311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75B">
        <w:rPr>
          <w:rFonts w:ascii="Times New Roman" w:hAnsi="Times New Roman" w:cs="Times New Roman"/>
          <w:b/>
          <w:bCs/>
          <w:sz w:val="24"/>
          <w:szCs w:val="24"/>
        </w:rPr>
        <w:t>2. Data Preparation</w:t>
      </w:r>
    </w:p>
    <w:p w14:paraId="057A4F65" w14:textId="77777777" w:rsidR="002C33F6" w:rsidRPr="00DE075B" w:rsidRDefault="002C33F6" w:rsidP="00531127">
      <w:pPr>
        <w:jc w:val="both"/>
        <w:rPr>
          <w:rFonts w:ascii="Times New Roman" w:hAnsi="Times New Roman" w:cs="Times New Roman"/>
          <w:sz w:val="24"/>
          <w:szCs w:val="24"/>
        </w:rPr>
      </w:pPr>
      <w:r w:rsidRPr="00DE075B">
        <w:rPr>
          <w:rFonts w:ascii="Times New Roman" w:hAnsi="Times New Roman" w:cs="Times New Roman"/>
          <w:sz w:val="24"/>
          <w:szCs w:val="24"/>
        </w:rPr>
        <w:t xml:space="preserve">The dataset initially contained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72,612 records and 35 columns</w:t>
      </w:r>
      <w:r w:rsidRPr="00DE075B">
        <w:rPr>
          <w:rFonts w:ascii="Times New Roman" w:hAnsi="Times New Roman" w:cs="Times New Roman"/>
          <w:sz w:val="24"/>
          <w:szCs w:val="24"/>
        </w:rPr>
        <w:t xml:space="preserve">. Data cleaning included removing columns with no available values and columns with excessive missing values, handling remaining missing values using median imputation, converting the time column into a date format, and checking for duplicate and invalid records. There were no duplicate rows. Nine records where clicks exceeded impressions were identified and removed. The final dataset contained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72,603 records and 31 columns</w:t>
      </w:r>
      <w:r w:rsidRPr="00DE075B">
        <w:rPr>
          <w:rFonts w:ascii="Times New Roman" w:hAnsi="Times New Roman" w:cs="Times New Roman"/>
          <w:sz w:val="24"/>
          <w:szCs w:val="24"/>
        </w:rPr>
        <w:t>.</w:t>
      </w:r>
    </w:p>
    <w:p w14:paraId="086ADFAA" w14:textId="77777777" w:rsidR="00DE075B" w:rsidRPr="00DE075B" w:rsidRDefault="00DE075B" w:rsidP="005311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448E7D" w14:textId="77777777" w:rsidR="002C33F6" w:rsidRPr="00DE075B" w:rsidRDefault="002C33F6" w:rsidP="005311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75B">
        <w:rPr>
          <w:rFonts w:ascii="Times New Roman" w:hAnsi="Times New Roman" w:cs="Times New Roman"/>
          <w:b/>
          <w:bCs/>
          <w:sz w:val="24"/>
          <w:szCs w:val="24"/>
        </w:rPr>
        <w:t>3. Key Findings</w:t>
      </w:r>
    </w:p>
    <w:p w14:paraId="211B1F1D" w14:textId="77777777" w:rsidR="002C33F6" w:rsidRPr="00DE075B" w:rsidRDefault="002C33F6" w:rsidP="00531127">
      <w:pPr>
        <w:jc w:val="both"/>
        <w:rPr>
          <w:rFonts w:ascii="Times New Roman" w:hAnsi="Times New Roman" w:cs="Times New Roman"/>
          <w:sz w:val="24"/>
          <w:szCs w:val="24"/>
        </w:rPr>
      </w:pPr>
      <w:r w:rsidRPr="00DE075B">
        <w:rPr>
          <w:rFonts w:ascii="Times New Roman" w:hAnsi="Times New Roman" w:cs="Times New Roman"/>
          <w:sz w:val="24"/>
          <w:szCs w:val="24"/>
        </w:rPr>
        <w:t xml:space="preserve">The analysis compared three advertising platforms: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DV360, Facebook Ads, and Google Ads</w:t>
      </w:r>
      <w:r w:rsidRPr="00DE075B">
        <w:rPr>
          <w:rFonts w:ascii="Times New Roman" w:hAnsi="Times New Roman" w:cs="Times New Roman"/>
          <w:sz w:val="24"/>
          <w:szCs w:val="24"/>
        </w:rPr>
        <w:t xml:space="preserve">. DV360 achieved the highest Click-Through Rate (CTR) at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3.82%</w:t>
      </w:r>
      <w:r w:rsidRPr="00DE075B">
        <w:rPr>
          <w:rFonts w:ascii="Times New Roman" w:hAnsi="Times New Roman" w:cs="Times New Roman"/>
          <w:sz w:val="24"/>
          <w:szCs w:val="24"/>
        </w:rPr>
        <w:t xml:space="preserve"> and the lowest Cost Per Click (CPC) at approximately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$0.22</w:t>
      </w:r>
      <w:r w:rsidRPr="00DE075B">
        <w:rPr>
          <w:rFonts w:ascii="Times New Roman" w:hAnsi="Times New Roman" w:cs="Times New Roman"/>
          <w:sz w:val="24"/>
          <w:szCs w:val="24"/>
        </w:rPr>
        <w:t xml:space="preserve">, indicating strong engagement and click efficiency. Google Ads achieved the lowest Cost Per Thousand Impressions (CPM) at approximately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$8.55</w:t>
      </w:r>
      <w:r w:rsidRPr="00DE075B">
        <w:rPr>
          <w:rFonts w:ascii="Times New Roman" w:hAnsi="Times New Roman" w:cs="Times New Roman"/>
          <w:sz w:val="24"/>
          <w:szCs w:val="24"/>
        </w:rPr>
        <w:t>, making it the most cost-efficient platform for generating impressions.</w:t>
      </w:r>
    </w:p>
    <w:p w14:paraId="28855CE0" w14:textId="03CFBAC3" w:rsidR="002C33F6" w:rsidRPr="00DE075B" w:rsidRDefault="002C33F6" w:rsidP="00531127">
      <w:pPr>
        <w:jc w:val="both"/>
        <w:rPr>
          <w:rFonts w:ascii="Times New Roman" w:hAnsi="Times New Roman" w:cs="Times New Roman"/>
          <w:sz w:val="24"/>
          <w:szCs w:val="24"/>
        </w:rPr>
      </w:pPr>
      <w:r w:rsidRPr="00DE075B">
        <w:rPr>
          <w:rFonts w:ascii="Times New Roman" w:hAnsi="Times New Roman" w:cs="Times New Roman"/>
          <w:sz w:val="24"/>
          <w:szCs w:val="24"/>
        </w:rPr>
        <w:t xml:space="preserve">At the channel level,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Video</w:t>
      </w:r>
      <w:r w:rsidRPr="00DE075B">
        <w:rPr>
          <w:rFonts w:ascii="Times New Roman" w:hAnsi="Times New Roman" w:cs="Times New Roman"/>
          <w:sz w:val="24"/>
          <w:szCs w:val="24"/>
        </w:rPr>
        <w:t xml:space="preserve"> was the strongest performer, achieving the highest CTR (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3.82%</w:t>
      </w:r>
      <w:r w:rsidRPr="00DE075B">
        <w:rPr>
          <w:rFonts w:ascii="Times New Roman" w:hAnsi="Times New Roman" w:cs="Times New Roman"/>
          <w:sz w:val="24"/>
          <w:szCs w:val="24"/>
        </w:rPr>
        <w:t>) and lowest CPC (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$0.22</w:t>
      </w:r>
      <w:r w:rsidRPr="00DE075B">
        <w:rPr>
          <w:rFonts w:ascii="Times New Roman" w:hAnsi="Times New Roman" w:cs="Times New Roman"/>
          <w:sz w:val="24"/>
          <w:szCs w:val="24"/>
        </w:rPr>
        <w:t xml:space="preserve">).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DE075B">
        <w:rPr>
          <w:rFonts w:ascii="Times New Roman" w:hAnsi="Times New Roman" w:cs="Times New Roman"/>
          <w:sz w:val="24"/>
          <w:szCs w:val="24"/>
        </w:rPr>
        <w:t xml:space="preserve"> recorded the lowest CPM (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$8.55</w:t>
      </w:r>
      <w:r w:rsidRPr="00DE075B">
        <w:rPr>
          <w:rFonts w:ascii="Times New Roman" w:hAnsi="Times New Roman" w:cs="Times New Roman"/>
          <w:sz w:val="24"/>
          <w:szCs w:val="24"/>
        </w:rPr>
        <w:t xml:space="preserve">), making it an efficient channel for generating reach.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Mobile</w:t>
      </w:r>
      <w:r w:rsidRPr="00DE075B">
        <w:rPr>
          <w:rFonts w:ascii="Times New Roman" w:hAnsi="Times New Roman" w:cs="Times New Roman"/>
          <w:sz w:val="24"/>
          <w:szCs w:val="24"/>
        </w:rPr>
        <w:t xml:space="preserve"> had the lowest CTR (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3.54%</w:t>
      </w:r>
      <w:r w:rsidRPr="00DE075B">
        <w:rPr>
          <w:rFonts w:ascii="Times New Roman" w:hAnsi="Times New Roman" w:cs="Times New Roman"/>
          <w:sz w:val="24"/>
          <w:szCs w:val="24"/>
        </w:rPr>
        <w:t>) and highest CPC (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$0.25</w:t>
      </w:r>
      <w:r w:rsidRPr="00DE075B">
        <w:rPr>
          <w:rFonts w:ascii="Times New Roman" w:hAnsi="Times New Roman" w:cs="Times New Roman"/>
          <w:sz w:val="24"/>
          <w:szCs w:val="24"/>
        </w:rPr>
        <w:t>) among the analyzed channels.</w:t>
      </w:r>
    </w:p>
    <w:p w14:paraId="50C9F1FD" w14:textId="77777777" w:rsidR="00DE075B" w:rsidRPr="00DE075B" w:rsidRDefault="00DE075B" w:rsidP="005311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48BFD7" w14:textId="77777777" w:rsidR="002C33F6" w:rsidRPr="00DE075B" w:rsidRDefault="002C33F6" w:rsidP="005311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75B">
        <w:rPr>
          <w:rFonts w:ascii="Times New Roman" w:hAnsi="Times New Roman" w:cs="Times New Roman"/>
          <w:b/>
          <w:bCs/>
          <w:sz w:val="24"/>
          <w:szCs w:val="24"/>
        </w:rPr>
        <w:t>4. Marketing Funnel</w:t>
      </w:r>
    </w:p>
    <w:p w14:paraId="072BDDBB" w14:textId="77777777" w:rsidR="00531127" w:rsidRDefault="002C33F6" w:rsidP="00531127">
      <w:pPr>
        <w:jc w:val="both"/>
        <w:rPr>
          <w:rFonts w:ascii="Times New Roman" w:hAnsi="Times New Roman" w:cs="Times New Roman"/>
          <w:sz w:val="24"/>
          <w:szCs w:val="24"/>
        </w:rPr>
      </w:pPr>
      <w:r w:rsidRPr="00DE075B">
        <w:rPr>
          <w:rFonts w:ascii="Times New Roman" w:hAnsi="Times New Roman" w:cs="Times New Roman"/>
          <w:sz w:val="24"/>
          <w:szCs w:val="24"/>
        </w:rPr>
        <w:t xml:space="preserve">The available funnel was analyzed as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Impressions → Clicks</w:t>
      </w:r>
      <w:r w:rsidRPr="00DE075B">
        <w:rPr>
          <w:rFonts w:ascii="Times New Roman" w:hAnsi="Times New Roman" w:cs="Times New Roman"/>
          <w:sz w:val="24"/>
          <w:szCs w:val="24"/>
        </w:rPr>
        <w:t>. CTR was used to measure how effectively impressions generated user engagement. The analysis indicates that Video and DV360 were particularly effective at converting impressions into clicks.</w:t>
      </w:r>
    </w:p>
    <w:p w14:paraId="3B709A75" w14:textId="77777777" w:rsidR="00531127" w:rsidRDefault="00531127" w:rsidP="005311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21142B" w14:textId="7062538B" w:rsidR="002C33F6" w:rsidRPr="00531127" w:rsidRDefault="002C33F6" w:rsidP="00531127">
      <w:pPr>
        <w:jc w:val="both"/>
        <w:rPr>
          <w:rFonts w:ascii="Times New Roman" w:hAnsi="Times New Roman" w:cs="Times New Roman"/>
          <w:sz w:val="24"/>
          <w:szCs w:val="24"/>
        </w:rPr>
      </w:pPr>
      <w:r w:rsidRPr="00DE075B">
        <w:rPr>
          <w:rFonts w:ascii="Times New Roman" w:hAnsi="Times New Roman" w:cs="Times New Roman"/>
          <w:b/>
          <w:bCs/>
          <w:sz w:val="24"/>
          <w:szCs w:val="24"/>
        </w:rPr>
        <w:t>5. Budget Recommendation</w:t>
      </w:r>
    </w:p>
    <w:p w14:paraId="0278CB02" w14:textId="6D6A4740" w:rsidR="00DE075B" w:rsidRPr="00DE075B" w:rsidRDefault="002C33F6" w:rsidP="00531127">
      <w:pPr>
        <w:jc w:val="both"/>
        <w:rPr>
          <w:rFonts w:ascii="Times New Roman" w:hAnsi="Times New Roman" w:cs="Times New Roman"/>
          <w:sz w:val="24"/>
          <w:szCs w:val="24"/>
        </w:rPr>
      </w:pPr>
      <w:r w:rsidRPr="00DE075B">
        <w:rPr>
          <w:rFonts w:ascii="Times New Roman" w:hAnsi="Times New Roman" w:cs="Times New Roman"/>
          <w:sz w:val="24"/>
          <w:szCs w:val="24"/>
        </w:rPr>
        <w:t xml:space="preserve">Based on the available performance metrics, marketing budgets should be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prioritized toward DV360 and Video campaigns</w:t>
      </w:r>
      <w:r w:rsidRPr="00DE075B">
        <w:rPr>
          <w:rFonts w:ascii="Times New Roman" w:hAnsi="Times New Roman" w:cs="Times New Roman"/>
          <w:sz w:val="24"/>
          <w:szCs w:val="24"/>
        </w:rPr>
        <w:t xml:space="preserve"> because they demonstrate the strongest click efficiency.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DE075B">
        <w:rPr>
          <w:rFonts w:ascii="Times New Roman" w:hAnsi="Times New Roman" w:cs="Times New Roman"/>
          <w:sz w:val="24"/>
          <w:szCs w:val="24"/>
        </w:rPr>
        <w:t xml:space="preserve"> should continue to receive budget when the primary objective is cost-efficient reach and impressions. Mobile campaigns should be reviewed and optimized before increasing their budget because they currently show weaker engagement and higher click costs.</w:t>
      </w:r>
    </w:p>
    <w:p w14:paraId="0FBCA87A" w14:textId="77777777" w:rsidR="002C33F6" w:rsidRPr="00DE075B" w:rsidRDefault="002C33F6" w:rsidP="005311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75B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Limitation and Conclusion</w:t>
      </w:r>
    </w:p>
    <w:p w14:paraId="53980C1D" w14:textId="77777777" w:rsidR="002C33F6" w:rsidRPr="00DE075B" w:rsidRDefault="002C33F6" w:rsidP="00531127">
      <w:pPr>
        <w:jc w:val="both"/>
        <w:rPr>
          <w:rFonts w:ascii="Times New Roman" w:hAnsi="Times New Roman" w:cs="Times New Roman"/>
          <w:sz w:val="24"/>
          <w:szCs w:val="24"/>
        </w:rPr>
      </w:pPr>
      <w:r w:rsidRPr="00DE075B">
        <w:rPr>
          <w:rFonts w:ascii="Times New Roman" w:hAnsi="Times New Roman" w:cs="Times New Roman"/>
          <w:sz w:val="24"/>
          <w:szCs w:val="24"/>
        </w:rPr>
        <w:t xml:space="preserve">The dataset does not contain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revenue or conversion-value data</w:t>
      </w:r>
      <w:r w:rsidRPr="00DE075B">
        <w:rPr>
          <w:rFonts w:ascii="Times New Roman" w:hAnsi="Times New Roman" w:cs="Times New Roman"/>
          <w:sz w:val="24"/>
          <w:szCs w:val="24"/>
        </w:rPr>
        <w:t xml:space="preserve">, so a traditional ROI calculation cannot be performed. Therefore, the recommendations are based on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CTR, CPC, CPM, advertising cost, and campaign efficiency</w:t>
      </w:r>
      <w:r w:rsidRPr="00DE075B">
        <w:rPr>
          <w:rFonts w:ascii="Times New Roman" w:hAnsi="Times New Roman" w:cs="Times New Roman"/>
          <w:sz w:val="24"/>
          <w:szCs w:val="24"/>
        </w:rPr>
        <w:t>, rather than actual financial ROI.</w:t>
      </w:r>
    </w:p>
    <w:p w14:paraId="0B158C6E" w14:textId="77777777" w:rsidR="002C33F6" w:rsidRPr="00DE075B" w:rsidRDefault="002C33F6" w:rsidP="00531127">
      <w:pPr>
        <w:jc w:val="both"/>
        <w:rPr>
          <w:rFonts w:ascii="Times New Roman" w:hAnsi="Times New Roman" w:cs="Times New Roman"/>
          <w:sz w:val="24"/>
          <w:szCs w:val="24"/>
        </w:rPr>
      </w:pPr>
      <w:r w:rsidRPr="00DE075B">
        <w:rPr>
          <w:rFonts w:ascii="Times New Roman" w:hAnsi="Times New Roman" w:cs="Times New Roman"/>
          <w:sz w:val="24"/>
          <w:szCs w:val="24"/>
        </w:rPr>
        <w:t xml:space="preserve">Overall, the EDA indicates that </w:t>
      </w:r>
      <w:r w:rsidRPr="00DE075B">
        <w:rPr>
          <w:rFonts w:ascii="Times New Roman" w:hAnsi="Times New Roman" w:cs="Times New Roman"/>
          <w:b/>
          <w:bCs/>
          <w:sz w:val="24"/>
          <w:szCs w:val="24"/>
        </w:rPr>
        <w:t>DV360 and Video are the strongest candidates for increased investment</w:t>
      </w:r>
      <w:r w:rsidRPr="00DE075B">
        <w:rPr>
          <w:rFonts w:ascii="Times New Roman" w:hAnsi="Times New Roman" w:cs="Times New Roman"/>
          <w:sz w:val="24"/>
          <w:szCs w:val="24"/>
        </w:rPr>
        <w:t>, while Display is valuable for efficient reach. Further analysis using revenue and conversion data would allow the company to calculate true ROI and make more precise budget allocation decisions.</w:t>
      </w:r>
    </w:p>
    <w:p w14:paraId="55FFB1B5" w14:textId="77777777" w:rsidR="00F67D74" w:rsidRPr="00DE075B" w:rsidRDefault="00F67D74">
      <w:pPr>
        <w:rPr>
          <w:rFonts w:ascii="Times New Roman" w:hAnsi="Times New Roman" w:cs="Times New Roman"/>
          <w:sz w:val="24"/>
          <w:szCs w:val="24"/>
        </w:rPr>
      </w:pPr>
    </w:p>
    <w:sectPr w:rsidR="00F67D74" w:rsidRPr="00DE075B" w:rsidSect="00DE07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F6"/>
    <w:rsid w:val="0007329A"/>
    <w:rsid w:val="001D53A3"/>
    <w:rsid w:val="002C33F6"/>
    <w:rsid w:val="00531127"/>
    <w:rsid w:val="00DE075B"/>
    <w:rsid w:val="00F6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2235B"/>
  <w15:chartTrackingRefBased/>
  <w15:docId w15:val="{0BB7B9EC-678A-46EB-894F-6FFDDC1B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Thasleema Farvin</dc:creator>
  <cp:keywords/>
  <dc:description/>
  <cp:lastModifiedBy>Thasleema Farvin</cp:lastModifiedBy>
  <cp:revision>4</cp:revision>
  <dcterms:created xsi:type="dcterms:W3CDTF">2026-09-03T14:45:00Z</dcterms:created>
  <dcterms:modified xsi:type="dcterms:W3CDTF">2026-09-03T14:50:00Z</dcterms:modified>
</cp:coreProperties>
</file>