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77777777" w:rsidR="007E1E2A" w:rsidRPr="00EF14F6" w:rsidRDefault="007E1E2A" w:rsidP="007E1E2A">
      <w:pPr>
        <w:spacing w:line="360" w:lineRule="auto"/>
        <w:rPr>
          <w:rFonts w:cs="Times New Roman"/>
          <w:szCs w:val="24"/>
        </w:rPr>
      </w:pPr>
      <w:r w:rsidRPr="00EF14F6">
        <w:rPr>
          <w:rFonts w:cs="Times New Roman"/>
          <w:szCs w:val="24"/>
        </w:rPr>
        <w:t xml:space="preserve">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 </w:t>
      </w:r>
      <w:r w:rsidRPr="00EF14F6">
        <w:rPr>
          <w:rFonts w:cs="Times New Roman"/>
          <w:b/>
          <w:bCs/>
          <w:szCs w:val="24"/>
        </w:rPr>
        <w:t>[1]</w:t>
      </w:r>
      <w:r w:rsidRPr="00EF14F6">
        <w:rPr>
          <w:rFonts w:cs="Times New Roman"/>
          <w:szCs w:val="24"/>
        </w:rPr>
        <w:t xml:space="preserve">, Metallfiltration </w:t>
      </w:r>
      <w:r w:rsidRPr="00EF14F6">
        <w:rPr>
          <w:rFonts w:cs="Times New Roman"/>
          <w:b/>
          <w:bCs/>
          <w:szCs w:val="24"/>
        </w:rPr>
        <w:t>[2]</w:t>
      </w:r>
      <w:r w:rsidRPr="00EF14F6">
        <w:rPr>
          <w:rFonts w:cs="Times New Roman"/>
          <w:szCs w:val="24"/>
        </w:rPr>
        <w:t xml:space="preserve"> und Batterie-Separatoren </w:t>
      </w:r>
      <w:r w:rsidRPr="00EF14F6">
        <w:rPr>
          <w:rFonts w:cs="Times New Roman"/>
          <w:b/>
          <w:bCs/>
          <w:szCs w:val="24"/>
        </w:rPr>
        <w:t>[3]</w:t>
      </w:r>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77777777"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 </w:t>
      </w:r>
      <w:r w:rsidRPr="00EF14F6">
        <w:rPr>
          <w:rFonts w:cs="Times New Roman"/>
          <w:b/>
          <w:bCs/>
          <w:szCs w:val="24"/>
        </w:rPr>
        <w:t>[4]</w:t>
      </w:r>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r>
        <w:lastRenderedPageBreak/>
        <w:t>Theoretische Grundlagen</w:t>
      </w:r>
    </w:p>
    <w:p w14:paraId="1357F3AA" w14:textId="74A7E942" w:rsidR="00B0005F" w:rsidRPr="00B0005F" w:rsidRDefault="005B7CCC" w:rsidP="000C72BC">
      <w:pPr>
        <w:spacing w:line="360" w:lineRule="auto"/>
      </w:pPr>
      <w:r>
        <w:t>In diesem Kapitel wird zuerst auf die Definitionen und experimentellen Methoden zur Bestimmung von den Strukturparametern Porosität, Porengröße und Stegbreite eingegangen. Daraufhin wird die Methode der Computertomographie zur Analyse poröser Keramiken beschrieben.</w:t>
      </w:r>
    </w:p>
    <w:p w14:paraId="59953AD1" w14:textId="6E3937A3" w:rsidR="006F6D8F" w:rsidRDefault="006F6D8F" w:rsidP="00594F1A">
      <w:pPr>
        <w:pStyle w:val="Heading2"/>
      </w:pPr>
      <w:r>
        <w:t>Porosität</w:t>
      </w:r>
    </w:p>
    <w:p w14:paraId="54936369" w14:textId="3778CC10" w:rsidR="006F6D8F" w:rsidRDefault="00AD67B2" w:rsidP="00AD67B2">
      <w:pPr>
        <w:spacing w:line="360" w:lineRule="auto"/>
      </w:pPr>
      <w:r>
        <w:t xml:space="preserve">Poröse Keramiken zeichnen sich dadurch aus, dass bei ihrer Herstellung gezielt Poren, also Hohräume eingebaut werden. </w:t>
      </w:r>
      <w:r w:rsidR="001B7CEC">
        <w:t xml:space="preserve">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w:t>
      </w:r>
      <w:r>
        <w:t>Die Porosität beschreibt dabei den Anteil des Hohlraumvolumens im Verhältnis zum Gesamtvolumen</w:t>
      </w:r>
      <w:r w:rsidR="00FE4673">
        <w:t xml:space="preserve"> (Gleichung 2.1)</w:t>
      </w:r>
      <w:r>
        <w:t>.</w:t>
      </w:r>
      <w:r w:rsidR="00611674">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11674" w14:paraId="2D836119" w14:textId="77777777" w:rsidTr="00611674">
        <w:tc>
          <w:tcPr>
            <w:tcW w:w="8359" w:type="dxa"/>
          </w:tcPr>
          <w:p w14:paraId="361F69C0" w14:textId="25144E93" w:rsidR="00FE4673" w:rsidRPr="00FE4673" w:rsidRDefault="00FE4673" w:rsidP="009C3611">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E28C7BC" w14:textId="1E6C4256" w:rsidR="00FE4673" w:rsidRDefault="00611674" w:rsidP="009C3611">
            <w:pPr>
              <w:spacing w:line="360" w:lineRule="auto"/>
            </w:pPr>
            <w:r>
              <w:t>(2.1)</w:t>
            </w:r>
          </w:p>
        </w:tc>
      </w:tr>
    </w:tbl>
    <w:p w14:paraId="3D2BCEAA" w14:textId="56260A06" w:rsidR="00FE4673" w:rsidRDefault="009C3611" w:rsidP="00AD67B2">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C48FC90" w14:textId="21198C49" w:rsidR="009C3611" w:rsidRDefault="00B23AC8" w:rsidP="00B23AC8">
      <w:pPr>
        <w:pStyle w:val="Heading3"/>
      </w:pPr>
      <w:r>
        <w:t>Experimentelle Bestimmung der Porosität</w:t>
      </w:r>
    </w:p>
    <w:p w14:paraId="469EFAAF" w14:textId="1FA6DCEF" w:rsidR="00B23AC8" w:rsidRDefault="001D6D4C" w:rsidP="001D6D4C">
      <w:pPr>
        <w:spacing w:line="360" w:lineRule="auto"/>
      </w:pPr>
      <w:r>
        <w:t>Die Porosität kann auf verschiedene Arten experimentell bestimmt werden.</w:t>
      </w:r>
    </w:p>
    <w:p w14:paraId="1A3A7F91" w14:textId="189E0F8A" w:rsidR="00B23AC8" w:rsidRDefault="00B23AC8" w:rsidP="00B23AC8">
      <w:pPr>
        <w:pStyle w:val="Heading4"/>
      </w:pPr>
      <w:r>
        <w:t>Gaspyknometrie</w:t>
      </w:r>
    </w:p>
    <w:p w14:paraId="7F747F5C" w14:textId="62320343" w:rsidR="00D65FB6" w:rsidRDefault="001A3DF5" w:rsidP="0034312C">
      <w:pPr>
        <w:spacing w:line="360" w:lineRule="auto"/>
      </w:pPr>
      <w:r>
        <w:t>D</w:t>
      </w:r>
      <w:r w:rsidR="0034312C">
        <w:t>ie Gaspyknometrie basiert auf dem Boyle-Mariotte-Gesetzt, das die Beziehung zwischen Druck und Volumen in einem geschlossenen Gassystem beschreibt</w:t>
      </w:r>
      <w:r w:rsidR="00F95FDF">
        <w:t xml:space="preserve"> (Gleichung 2.2)</w:t>
      </w:r>
      <w:r w:rsidR="0034312C">
        <w:t>.</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65FB6" w14:paraId="031C3337" w14:textId="77777777" w:rsidTr="003063D4">
        <w:tc>
          <w:tcPr>
            <w:tcW w:w="8359" w:type="dxa"/>
          </w:tcPr>
          <w:p w14:paraId="205DBAEC" w14:textId="7508D309" w:rsidR="00D65FB6" w:rsidRPr="00FE4673" w:rsidRDefault="00D65FB6" w:rsidP="003063D4">
            <w:pPr>
              <w:spacing w:line="360" w:lineRule="auto"/>
              <w:rPr>
                <w:rFonts w:cs="Times New Roman"/>
              </w:rPr>
            </w:pPr>
            <m:oMathPara>
              <m:oMath>
                <m:r>
                  <w:rPr>
                    <w:rFonts w:ascii="Cambria Math" w:hAnsi="Cambria Math" w:cs="Arial"/>
                  </w:rPr>
                  <m:t>p×V=konstant</m:t>
                </m:r>
              </m:oMath>
            </m:oMathPara>
          </w:p>
        </w:tc>
        <w:tc>
          <w:tcPr>
            <w:tcW w:w="708" w:type="dxa"/>
          </w:tcPr>
          <w:p w14:paraId="46D8B81E" w14:textId="5C0900A9" w:rsidR="00D65FB6" w:rsidRDefault="00D65FB6" w:rsidP="003063D4">
            <w:pPr>
              <w:spacing w:line="360" w:lineRule="auto"/>
            </w:pPr>
            <w:r>
              <w:t>(2.2)</w:t>
            </w:r>
          </w:p>
        </w:tc>
      </w:tr>
    </w:tbl>
    <w:p w14:paraId="02DAD659" w14:textId="4EE5FE3E" w:rsidR="00D65FB6" w:rsidRDefault="00D65FB6" w:rsidP="0034312C">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097216F5" w14:textId="1CA29EBD" w:rsidR="00B23AC8" w:rsidRDefault="0034312C" w:rsidP="0034312C">
      <w:pPr>
        <w:spacing w:line="360" w:lineRule="auto"/>
      </w:pPr>
      <w:r>
        <w:t xml:space="preserve">Dieses Prinzip wird genutzt, um das Volumen fester Stoffer präzise zu bestimmen, indem die Verdängung eines Gases durch die Probe gemessen wird. </w:t>
      </w:r>
      <w:r w:rsidR="00AB75A9">
        <w:t xml:space="preserve">Ein typisches Gaspyknometer besteht aus einer Probenkammer, einer Referenzkammer und einem Drucksensor. </w:t>
      </w:r>
      <w:r w:rsidR="00C9347F">
        <w:t xml:space="preserve">Die </w:t>
      </w:r>
      <w:r w:rsidR="00C9347F">
        <w:lastRenderedPageBreak/>
        <w:t>Messung erfolgt in mehreren Schritten. Zuerst wird ein definiertes Gasvolumen wird in die Probenkammer geleitet. Daraufhin wird der Gasdruck in der Probenkammer und Referenzkammer gemessen. Schließlich kann aus dem Druckunterschied das Verdrängungsvolumen der Probe berechnet werden</w:t>
      </w:r>
      <w:r w:rsidR="000937A9">
        <w:t xml:space="preserve"> </w:t>
      </w:r>
      <w:r w:rsidR="000937A9" w:rsidRPr="0034312C">
        <w:rPr>
          <w:b/>
          <w:bCs/>
        </w:rPr>
        <w:t>[6]</w:t>
      </w:r>
      <w:r w:rsidR="000937A9" w:rsidRPr="000937A9">
        <w:t>.</w:t>
      </w:r>
      <w:r w:rsidR="00250E4C">
        <w:t xml:space="preserve"> </w:t>
      </w:r>
      <w:r w:rsidR="00CB1FF2">
        <w:t>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40964" w14:paraId="17F001E9" w14:textId="77777777" w:rsidTr="003063D4">
        <w:tc>
          <w:tcPr>
            <w:tcW w:w="8359" w:type="dxa"/>
          </w:tcPr>
          <w:p w14:paraId="50D762CF" w14:textId="243F8794" w:rsidR="00640964" w:rsidRPr="00FE4673" w:rsidRDefault="00640964" w:rsidP="003063D4">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71F67B95" w14:textId="68DB9382" w:rsidR="00640964" w:rsidRDefault="00640964" w:rsidP="003063D4">
            <w:pPr>
              <w:spacing w:line="360" w:lineRule="auto"/>
            </w:pPr>
            <w:r>
              <w:t>(2.3)</w:t>
            </w:r>
          </w:p>
        </w:tc>
      </w:tr>
    </w:tbl>
    <w:p w14:paraId="4178C2D6" w14:textId="6BC6FAB0" w:rsidR="00640964" w:rsidRDefault="00993186" w:rsidP="0034312C">
      <w:pPr>
        <w:spacing w:line="360" w:lineRule="auto"/>
        <w:rPr>
          <w:rFonts w:eastAsiaTheme="minorEastAsia"/>
        </w:rPr>
      </w:pPr>
      <w:r>
        <w:t>m</w:t>
      </w:r>
      <w:r w:rsidR="00640964">
        <w:t xml:space="preserve">it </w:t>
      </w:r>
      <m:oMath>
        <m:r>
          <w:rPr>
            <w:rFonts w:ascii="Cambria Math" w:hAnsi="Cambria Math" w:cs="Arial"/>
          </w:rPr>
          <m:t>Φ</m:t>
        </m:r>
      </m:oMath>
      <w:r w:rsidR="00640964">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sidR="00640964">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sidR="00640964">
        <w:rPr>
          <w:rFonts w:eastAsiaTheme="minorEastAsia"/>
        </w:rPr>
        <w:t>: Gesamtvolumen</w:t>
      </w:r>
    </w:p>
    <w:p w14:paraId="0A704C92" w14:textId="0C2F3D92" w:rsidR="00640964" w:rsidRDefault="001B7CEC" w:rsidP="0034312C">
      <w:pPr>
        <w:spacing w:line="360" w:lineRule="auto"/>
      </w:pPr>
      <w:r>
        <w:t>Bei der Gaspyknometrie dringt das Gas nur in die offenen Poren ein. Die</w:t>
      </w:r>
      <w:r w:rsidR="0020562B">
        <w:t xml:space="preserve"> </w:t>
      </w:r>
      <w:r>
        <w:t xml:space="preserve">geschlossenen Poren werden somit bei der Berechnung der Porosität nicht miteinbezogen </w:t>
      </w:r>
      <w:r w:rsidRPr="001B7CEC">
        <w:rPr>
          <w:b/>
          <w:bCs/>
        </w:rPr>
        <w:t>[7]</w:t>
      </w:r>
      <w:r>
        <w:t>.</w:t>
      </w:r>
    </w:p>
    <w:p w14:paraId="6A879539" w14:textId="450D347F" w:rsidR="001237C8" w:rsidRDefault="00A42429" w:rsidP="001237C8">
      <w:pPr>
        <w:pStyle w:val="Heading4"/>
      </w:pPr>
      <w:r>
        <w:t xml:space="preserve">Quecksilber </w:t>
      </w:r>
      <w:r w:rsidR="001237C8">
        <w:t>Porosimetrie</w:t>
      </w:r>
    </w:p>
    <w:p w14:paraId="62F296AA" w14:textId="60883387" w:rsidR="001237C8" w:rsidRPr="001237C8" w:rsidRDefault="00C102A4" w:rsidP="00A079A8">
      <w:pPr>
        <w:spacing w:line="360" w:lineRule="auto"/>
      </w:pPr>
      <w:r>
        <w:t xml:space="preserve">Porosimetrie beschreibt Methoden zur Untersuchung der Porenstruktur eines Materials </w:t>
      </w:r>
      <w:r w:rsidRPr="00C102A4">
        <w:rPr>
          <w:b/>
          <w:bCs/>
        </w:rPr>
        <w:t>[?]</w:t>
      </w:r>
      <w:r>
        <w:t>. Besonders häufig genutzt wird die sogenannte Quecksilber Porosimetrie.</w:t>
      </w:r>
      <w:r w:rsidR="00A079A8">
        <w:t xml:space="preserve"> Diese Methode basiert darauf, dass Quecksilber in die offenen Poren eingeleitet wird. Anhand des von den Poren aufgenommen Volumens</w:t>
      </w:r>
      <w:r w:rsidR="00327ECE">
        <w:t xml:space="preserve"> an Quecksilber</w:t>
      </w:r>
      <w:r w:rsidR="00A079A8">
        <w:t xml:space="preserve"> kann die Porosität bestimmt werden</w:t>
      </w:r>
      <w:r w:rsidR="00327ECE">
        <w:t>. Bei dieser Methode werden die geschlossenen Poren nicht berücksichtigt</w:t>
      </w:r>
      <w:r w:rsidR="00843A58">
        <w:t xml:space="preserve"> </w:t>
      </w:r>
      <w:r w:rsidR="00843A58" w:rsidRPr="001237C8">
        <w:rPr>
          <w:b/>
          <w:bCs/>
        </w:rPr>
        <w:t>[</w:t>
      </w:r>
      <w:r w:rsidR="00843A58">
        <w:rPr>
          <w:b/>
          <w:bCs/>
        </w:rPr>
        <w:t>8</w:t>
      </w:r>
      <w:r w:rsidR="00843A58" w:rsidRPr="001237C8">
        <w:rPr>
          <w:b/>
          <w:bCs/>
        </w:rPr>
        <w:t>]</w:t>
      </w:r>
      <w:r w:rsidR="00A079A8">
        <w:t>.</w:t>
      </w:r>
      <w:r w:rsidR="00D37CDF">
        <w:t xml:space="preserve"> </w:t>
      </w:r>
    </w:p>
    <w:p w14:paraId="100DFCD7" w14:textId="2D4DAA8C" w:rsidR="00B0005F" w:rsidRDefault="00B0005F" w:rsidP="00B0005F">
      <w:pPr>
        <w:pStyle w:val="Heading2"/>
      </w:pPr>
      <w:r>
        <w:t>Porengröße</w:t>
      </w:r>
    </w:p>
    <w:p w14:paraId="0D1BC83B" w14:textId="7DDD3514" w:rsidR="001237C8" w:rsidRDefault="009F16E1" w:rsidP="001237C8">
      <w:pPr>
        <w:spacing w:line="360" w:lineRule="auto"/>
      </w:pPr>
      <w:r>
        <w:t>Die Porengröße beschreibt den Durchmesser oder die Breite von Poren innerhalb eines Materials.</w:t>
      </w:r>
    </w:p>
    <w:p w14:paraId="39665AFD" w14:textId="00D23985" w:rsidR="001237C8" w:rsidRDefault="001237C8" w:rsidP="001237C8">
      <w:pPr>
        <w:pStyle w:val="Heading3"/>
      </w:pPr>
      <w:r>
        <w:t>Experimentelle Bestimmung der Porengröße</w:t>
      </w:r>
    </w:p>
    <w:p w14:paraId="19E6EB99" w14:textId="67205D77" w:rsidR="001237C8" w:rsidRPr="0083528E" w:rsidRDefault="0083528E" w:rsidP="001237C8">
      <w:pPr>
        <w:spacing w:line="360" w:lineRule="auto"/>
      </w:pPr>
      <w:r>
        <w:t xml:space="preserve">Die Porengröße kann teilweise </w:t>
      </w:r>
      <w:r w:rsidR="00441562">
        <w:t>experimentell</w:t>
      </w:r>
      <w:r>
        <w:t xml:space="preserve"> bestimmt werden </w:t>
      </w:r>
      <w:r w:rsidRPr="0083528E">
        <w:rPr>
          <w:b/>
          <w:bCs/>
        </w:rPr>
        <w:t>[8]</w:t>
      </w:r>
      <w:r>
        <w:t>.</w:t>
      </w:r>
    </w:p>
    <w:p w14:paraId="4989EE14" w14:textId="369E4482" w:rsidR="001237C8" w:rsidRDefault="00327ECE" w:rsidP="001237C8">
      <w:pPr>
        <w:pStyle w:val="Heading4"/>
      </w:pPr>
      <w:r>
        <w:t xml:space="preserve">Quecksilber </w:t>
      </w:r>
      <w:r w:rsidR="001237C8">
        <w:t>Porosimetrie</w:t>
      </w:r>
    </w:p>
    <w:p w14:paraId="042F5311" w14:textId="21E9147E" w:rsidR="00784CC1" w:rsidRDefault="00784CC1" w:rsidP="001237C8">
      <w:pPr>
        <w:spacing w:line="360" w:lineRule="auto"/>
      </w:pPr>
      <w:r>
        <w:t xml:space="preserve">Die Quecksilber Porosimetrie kann ebenfalls dazu genutzt werden, die Porengrößen eines Feststoffs zu messen. Eine </w:t>
      </w:r>
      <w:r w:rsidR="000349AA">
        <w:t>grundlegende Voraussetzung dafür ist, dass sie mittels einer nichtbenetzenden Flüssigkeit wie Quecksilber durchgeführt wird.</w:t>
      </w:r>
      <w:r>
        <w:t xml:space="preserve"> </w:t>
      </w:r>
      <w:r w:rsidR="009441DA">
        <w:t>Hierdurch wird garantiert, dass das Quecksilber nur bei einer Erhöhung des Drucks in die Poren eindringt</w:t>
      </w:r>
      <w:r w:rsidR="00423E35">
        <w:t xml:space="preserve"> </w:t>
      </w:r>
      <w:r w:rsidR="00423E35" w:rsidRPr="00423E35">
        <w:rPr>
          <w:b/>
          <w:bCs/>
        </w:rPr>
        <w:t>[8]</w:t>
      </w:r>
      <w:r w:rsidR="009441DA">
        <w:t xml:space="preserve">. </w:t>
      </w:r>
      <w:r w:rsidR="00DB662B">
        <w:t xml:space="preserve">Der Druck steht in Abhängigkeit zum Porendurchmesser (Gleichung </w:t>
      </w:r>
      <w:r w:rsidR="00131452">
        <w:t>2</w:t>
      </w:r>
      <w:r w:rsidR="00DB662B">
        <w:t>.</w:t>
      </w:r>
      <w:r w:rsidR="00801701">
        <w:t>4</w:t>
      </w:r>
      <w:r w:rsidR="00DB662B">
        <w:t>)</w:t>
      </w:r>
      <w:r w:rsidR="00260D01">
        <w:t xml:space="preserve"> </w:t>
      </w:r>
      <w:r w:rsidR="00260D01" w:rsidRPr="00260D01">
        <w:rPr>
          <w:b/>
          <w:bCs/>
        </w:rPr>
        <w:t>[9]</w:t>
      </w:r>
      <w:r w:rsidR="00DB662B">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B662B" w14:paraId="541FCC10" w14:textId="77777777" w:rsidTr="00932B09">
        <w:tc>
          <w:tcPr>
            <w:tcW w:w="8359" w:type="dxa"/>
          </w:tcPr>
          <w:p w14:paraId="64144B57" w14:textId="036B6A78" w:rsidR="00DB662B" w:rsidRPr="00FE4673" w:rsidRDefault="000101C3" w:rsidP="00932B09">
            <w:pPr>
              <w:spacing w:line="360" w:lineRule="auto"/>
              <w:rPr>
                <w:rFonts w:cs="Times New Roman"/>
              </w:rPr>
            </w:pPr>
            <m:oMathPara>
              <m:oMath>
                <m:r>
                  <w:rPr>
                    <w:rFonts w:ascii="Cambria Math" w:hAnsi="Cambria Math" w:cs="Arial"/>
                  </w:rPr>
                  <w:lastRenderedPageBreak/>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799B4129" w14:textId="5A54B723" w:rsidR="00DB662B" w:rsidRDefault="00DB662B" w:rsidP="00932B09">
            <w:pPr>
              <w:spacing w:line="360" w:lineRule="auto"/>
            </w:pPr>
            <w:r>
              <w:t>(2.</w:t>
            </w:r>
            <w:r w:rsidR="00801701">
              <w:t>4</w:t>
            </w:r>
            <w:r>
              <w:t>)</w:t>
            </w:r>
          </w:p>
        </w:tc>
      </w:tr>
    </w:tbl>
    <w:p w14:paraId="5CA293FD" w14:textId="3B392F3A" w:rsidR="00DB662B" w:rsidRDefault="00993186" w:rsidP="001237C8">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840FF7" w14:textId="6D16E263" w:rsidR="00552759" w:rsidRDefault="00E84328" w:rsidP="001237C8">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552759">
        <w:t xml:space="preserve">. </w:t>
      </w:r>
      <w:r w:rsidR="00D462ED">
        <w:t xml:space="preserve">Für bestimmte Porengeometrien ist diese Methode jedoch ungeeignet. Bei großen Poren mit dünnen Öffnungen wird die Porengröße als der Durchmesser ihrer Öffnungen intepretiert </w:t>
      </w:r>
      <w:r w:rsidR="00552759" w:rsidRPr="00423E35">
        <w:rPr>
          <w:b/>
          <w:bCs/>
        </w:rPr>
        <w:t>[8]</w:t>
      </w:r>
      <w:r w:rsidR="00D462ED" w:rsidRPr="00D462ED">
        <w:t>.</w:t>
      </w:r>
    </w:p>
    <w:p w14:paraId="522A72D2" w14:textId="54075A23" w:rsidR="00B0005F" w:rsidRDefault="00B0005F" w:rsidP="00B0005F">
      <w:pPr>
        <w:pStyle w:val="Heading2"/>
      </w:pPr>
      <w:r>
        <w:t>Stegbreite</w:t>
      </w:r>
    </w:p>
    <w:p w14:paraId="2FBCFB12" w14:textId="7B232840" w:rsidR="00B0005F" w:rsidRDefault="009F16E1" w:rsidP="00EC3AD0">
      <w:pPr>
        <w:spacing w:line="360" w:lineRule="auto"/>
      </w:pPr>
      <w:r>
        <w:t>Die Stegbreite bezeichnet die Breite der festen Materialbereiche, die zwischen den Poren eines porösen Materials liegen.</w:t>
      </w:r>
      <w:r w:rsidR="001237C8">
        <w:t xml:space="preserve"> </w:t>
      </w:r>
    </w:p>
    <w:p w14:paraId="00E31358" w14:textId="2E4F343C" w:rsidR="00B7443D" w:rsidRDefault="001237C8" w:rsidP="00B7443D">
      <w:pPr>
        <w:pStyle w:val="Heading3"/>
      </w:pPr>
      <w:r>
        <w:t>Experimentelle Bestimmung der Stegbreite</w:t>
      </w:r>
    </w:p>
    <w:p w14:paraId="4CEF034C" w14:textId="447B4915" w:rsidR="00F1714C" w:rsidRPr="00F1714C" w:rsidRDefault="00F1714C" w:rsidP="00EC3AD0">
      <w:pPr>
        <w:spacing w:line="360" w:lineRule="auto"/>
      </w:pPr>
      <w:r>
        <w:t xml:space="preserve">Zur direkten Bestimmung der Stegbreite werden meist </w:t>
      </w:r>
      <w:r w:rsidR="006459E5">
        <w:t xml:space="preserve">bildgebende Verfahren verwendet </w:t>
      </w:r>
      <w:r w:rsidR="006459E5" w:rsidRPr="006459E5">
        <w:rPr>
          <w:b/>
          <w:bCs/>
        </w:rPr>
        <w:t>[9]</w:t>
      </w:r>
      <w:r w:rsidR="006459E5">
        <w:t>.</w:t>
      </w:r>
      <w:r w:rsidR="00D30E97">
        <w:t xml:space="preserve"> Wie bei der Porengröße kann eine Verteilung der Stegbreitengröße ermittelt werden.</w:t>
      </w:r>
    </w:p>
    <w:p w14:paraId="0489C64B" w14:textId="659F6670" w:rsidR="00B0005F" w:rsidRDefault="00B0005F" w:rsidP="00B0005F">
      <w:pPr>
        <w:pStyle w:val="Heading2"/>
      </w:pPr>
      <w:r>
        <w:t>Compute</w:t>
      </w:r>
      <w:r w:rsidR="001E0355">
        <w:t>r</w:t>
      </w:r>
      <w:r w:rsidR="00E059D6">
        <w:t>t</w:t>
      </w:r>
      <w:r>
        <w:t>omographie</w:t>
      </w:r>
    </w:p>
    <w:p w14:paraId="700D783D" w14:textId="6E26E7A2" w:rsidR="00EC3AD0" w:rsidRDefault="00EC3AD0" w:rsidP="00D82FAD">
      <w:pPr>
        <w:spacing w:line="360" w:lineRule="auto"/>
      </w:pPr>
      <w:r>
        <w:t>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w:t>
      </w:r>
      <w:r w:rsidR="00601E4B">
        <w:t>k</w:t>
      </w:r>
      <w:r>
        <w:t xml:space="preserve">ro- </w:t>
      </w:r>
      <w:r w:rsidR="00862C90">
        <w:t>oder</w:t>
      </w:r>
      <w:r>
        <w:t xml:space="preserve"> </w:t>
      </w:r>
      <w:r>
        <w:rPr>
          <w:rFonts w:cs="Times New Roman"/>
        </w:rPr>
        <w:t>μ</w:t>
      </w:r>
      <w:r>
        <w:t>-CT bezeichnet wird. Um die Pr</w:t>
      </w:r>
      <w:r w:rsidR="00601E4B">
        <w:t>o</w:t>
      </w:r>
      <w:r>
        <w:t>be dreidimensional darzustellen</w:t>
      </w:r>
      <w:r w:rsidR="00601E4B">
        <w:t xml:space="preserve">, </w:t>
      </w:r>
      <w:r>
        <w:t xml:space="preserve">werden in regelmäßigen Abstand </w:t>
      </w:r>
      <w:r w:rsidR="00862C90">
        <w:t>zweidimensionale Querschnitte erzuegt. Diese Querschnitte können dann anneinander gereiht zu einem virtuellen dreidimensionalem Objekt zusammengefügt werden</w:t>
      </w:r>
      <w:r w:rsidR="00C85FCA">
        <w:t xml:space="preserve">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862C90">
        <w:t>.</w:t>
      </w:r>
    </w:p>
    <w:p w14:paraId="563E2F7A" w14:textId="6035E4E5" w:rsidR="00601E4B" w:rsidRDefault="00601E4B" w:rsidP="00D82FAD">
      <w:pPr>
        <w:spacing w:line="360" w:lineRule="auto"/>
      </w:pPr>
      <w:r>
        <w:lastRenderedPageBreak/>
        <w:t>Mikro-CT ist besonders gut geeignet für die Untersuchung poröser Keramiken geeignet.</w:t>
      </w:r>
      <w:r w:rsidR="00C85FCA">
        <w:t xml:space="preserve">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C85FCA">
        <w:t xml:space="preserve">. </w:t>
      </w:r>
    </w:p>
    <w:p w14:paraId="5CC46EEC" w14:textId="32DE39E8" w:rsidR="00097AD2" w:rsidRDefault="008562DD" w:rsidP="00D82FAD">
      <w:pPr>
        <w:spacing w:line="360" w:lineRule="auto"/>
      </w:pPr>
      <w:r>
        <w:t xml:space="preserve">Trotz dieser Vorteile hat Mikro-CT auch Grenzen. Die Anschaffung und der Betrieb der Geräte ist ein </w:t>
      </w:r>
      <w:r w:rsidR="00893758">
        <w:t>erhöhter</w:t>
      </w:r>
      <w:r>
        <w:t xml:space="preserve"> finanzieller</w:t>
      </w:r>
      <w:r w:rsidR="00893758">
        <w:t xml:space="preserve"> und sicherheitstechnischer</w:t>
      </w:r>
      <w:r>
        <w:t xml:space="preserve"> Aufwand. Hierbei erfordert </w:t>
      </w:r>
      <w:r w:rsidR="00893758">
        <w:t xml:space="preserve">besonders </w:t>
      </w:r>
      <w:r>
        <w:t xml:space="preserve">der Umgang mit Röntgenstrahlung </w:t>
      </w:r>
      <w:r w:rsidR="00097AD2">
        <w:t>notwendige Schutzmaßnahmen.</w:t>
      </w:r>
      <w:r w:rsidR="00DF7909">
        <w:t xml:space="preserve"> </w:t>
      </w:r>
      <w:r>
        <w:t xml:space="preserve">Des weiteren </w:t>
      </w:r>
      <w:r w:rsidR="00097AD2">
        <w:t>benötigt die Analyse der erzeugten Datenmengen einen hohen Zeit- und Rechenaufwand</w:t>
      </w:r>
      <w:r w:rsidR="00D82FAD">
        <w:t>. Zusätzlich können die durch die Strahlung oder untersuchten Materialien auftretende</w:t>
      </w:r>
      <w:r w:rsidR="00FA79E6">
        <w:t>n</w:t>
      </w:r>
      <w:r w:rsidR="00D82FAD">
        <w:t xml:space="preserve"> Artefakte meist nur durch aussreichende Kenntnisse des Gerätes minimiert werden</w:t>
      </w:r>
      <w:r w:rsidR="00A05F8F">
        <w:t xml:space="preserve"> </w:t>
      </w:r>
      <w:r w:rsidR="00A05F8F" w:rsidRPr="00601E4B">
        <w:rPr>
          <w:b/>
          <w:bCs/>
        </w:rPr>
        <w:t>[12]</w:t>
      </w:r>
      <w:r w:rsidR="00D82FAD">
        <w:t xml:space="preserve"> </w:t>
      </w:r>
      <w:r w:rsidR="00727957" w:rsidRPr="000E47CF">
        <w:rPr>
          <w:b/>
          <w:bCs/>
        </w:rPr>
        <w:t>[13]</w:t>
      </w:r>
      <w:r w:rsidR="00097AD2">
        <w:t>.</w:t>
      </w:r>
    </w:p>
    <w:p w14:paraId="2C7FA488" w14:textId="2183A5BB" w:rsidR="00B0005F" w:rsidRDefault="00B0005F" w:rsidP="00B0005F">
      <w:pPr>
        <w:pStyle w:val="Heading2"/>
      </w:pPr>
      <w:r>
        <w:t>Visualisierung eines Porennetzwerks</w:t>
      </w:r>
    </w:p>
    <w:p w14:paraId="01D2D8C2" w14:textId="77777777" w:rsidR="002C5D3E" w:rsidRPr="002C5D3E" w:rsidRDefault="002C5D3E" w:rsidP="002C5D3E"/>
    <w:p w14:paraId="3744E0BA" w14:textId="686E0B9F" w:rsidR="007E1E2A" w:rsidRDefault="007E1E2A">
      <w:pPr>
        <w:jc w:val="left"/>
      </w:pPr>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07785F15" w:rsidR="009E0102" w:rsidRDefault="009E0102" w:rsidP="009E0102">
      <w:pPr>
        <w:pStyle w:val="Heading1"/>
      </w:pPr>
      <w:r>
        <w:lastRenderedPageBreak/>
        <w:t xml:space="preserve">Diksussion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For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8"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r>
        <w:fldChar w:fldCharType="begin"/>
      </w:r>
      <w:r>
        <w:instrText>HYPERLINK "https://doi.org/10.1007/s11581-023-04940-0"</w:instrText>
      </w:r>
      <w:r>
        <w:fldChar w:fldCharType="separate"/>
      </w:r>
      <w:r w:rsidRPr="00095D67">
        <w:rPr>
          <w:rStyle w:val="Hyperlink"/>
        </w:rPr>
        <w:t>https://doi.org/10.1007/s11581-023-04940-0</w:t>
      </w:r>
      <w:r>
        <w:rPr>
          <w:rStyle w:val="Hyperlink"/>
        </w:rPr>
        <w:fldChar w:fldCharType="end"/>
      </w:r>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r>
        <w:fldChar w:fldCharType="begin"/>
      </w:r>
      <w:r>
        <w:instrText>HYPERLINK "https://www.gnu.org/philosophy/fsfs/rms-essays.pdf"</w:instrText>
      </w:r>
      <w:r>
        <w:fldChar w:fldCharType="separate"/>
      </w:r>
      <w:r w:rsidRPr="003E20C3">
        <w:rPr>
          <w:rStyle w:val="Hyperlink"/>
        </w:rPr>
        <w:t>https://www.gnu.org/philosophy/fsfs/rms-essays.pdf</w:t>
      </w:r>
      <w:r>
        <w:rPr>
          <w:rStyle w:val="Hyperlink"/>
        </w:rPr>
        <w:fldChar w:fldCharType="end"/>
      </w:r>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And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9"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0"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1"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The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2"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hyperlink r:id="rId13" w:history="1">
        <w:r w:rsidR="009D7397" w:rsidRPr="00FA79E6">
          <w:rPr>
            <w:rStyle w:val="Hyperlink"/>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4"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15"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Default="00D047F6" w:rsidP="009D7397">
      <w:pPr>
        <w:spacing w:line="360" w:lineRule="auto"/>
      </w:pPr>
      <w:r w:rsidRPr="00D047F6">
        <w:rPr>
          <w:b/>
          <w:bCs/>
        </w:rPr>
        <w:t>[13]</w:t>
      </w:r>
      <w:r>
        <w:t xml:space="preserve"> </w:t>
      </w:r>
      <w:r w:rsidRPr="00D047F6">
        <w:t xml:space="preserve">Computertomografie (CT) für die zerstörungsfreie Materialprüfung [Internet]. Verfügbar unter: </w:t>
      </w:r>
      <w:hyperlink r:id="rId16" w:history="1">
        <w:r w:rsidRPr="00A245C1">
          <w:rPr>
            <w:rStyle w:val="Hyperlink"/>
          </w:rPr>
          <w:t>https://vc-xray.com/de/technologien/computertomografie</w:t>
        </w:r>
      </w:hyperlink>
    </w:p>
    <w:p w14:paraId="03E620E4" w14:textId="77777777" w:rsidR="00D047F6" w:rsidRPr="009D7397" w:rsidRDefault="00D047F6" w:rsidP="009D7397">
      <w:pPr>
        <w:spacing w:line="360" w:lineRule="auto"/>
      </w:pPr>
    </w:p>
    <w:p w14:paraId="42D428C6" w14:textId="4345E26C" w:rsidR="005E3733" w:rsidRPr="009D7397" w:rsidRDefault="005E3733" w:rsidP="005E3733"/>
    <w:p w14:paraId="47E29675" w14:textId="77777777" w:rsidR="00DE3C54" w:rsidRPr="009D7397" w:rsidRDefault="00DE3C54" w:rsidP="00602340"/>
    <w:p w14:paraId="6203CEDF" w14:textId="47243E4B" w:rsidR="007E1E2A" w:rsidRPr="009D7397" w:rsidRDefault="007E1E2A">
      <w:pPr>
        <w:jc w:val="left"/>
      </w:pPr>
      <w:r w:rsidRPr="009D7397">
        <w:br w:type="page"/>
      </w:r>
    </w:p>
    <w:p w14:paraId="78668E33" w14:textId="495A0971" w:rsidR="00602340" w:rsidRDefault="00602340" w:rsidP="00594F1A">
      <w:pPr>
        <w:pStyle w:val="Heading1"/>
        <w:numPr>
          <w:ilvl w:val="0"/>
          <w:numId w:val="13"/>
        </w:numPr>
      </w:pPr>
      <w:r>
        <w:lastRenderedPageBreak/>
        <w:t>Anhang</w:t>
      </w:r>
    </w:p>
    <w:p w14:paraId="294E66C2" w14:textId="77777777" w:rsidR="00602340" w:rsidRPr="00602340" w:rsidRDefault="00602340" w:rsidP="00602340"/>
    <w:sectPr w:rsidR="00602340" w:rsidRPr="00602340" w:rsidSect="00746055">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101C3"/>
    <w:rsid w:val="000349AA"/>
    <w:rsid w:val="00046FE2"/>
    <w:rsid w:val="000562D8"/>
    <w:rsid w:val="000937A9"/>
    <w:rsid w:val="000966B9"/>
    <w:rsid w:val="00097AD2"/>
    <w:rsid w:val="000B4E62"/>
    <w:rsid w:val="000C72BC"/>
    <w:rsid w:val="000D6F1E"/>
    <w:rsid w:val="000E47CF"/>
    <w:rsid w:val="000F6219"/>
    <w:rsid w:val="001237C8"/>
    <w:rsid w:val="00131452"/>
    <w:rsid w:val="00162791"/>
    <w:rsid w:val="00171ED1"/>
    <w:rsid w:val="001A3DF5"/>
    <w:rsid w:val="001B7CEC"/>
    <w:rsid w:val="001D6D4C"/>
    <w:rsid w:val="001E0355"/>
    <w:rsid w:val="001E4540"/>
    <w:rsid w:val="0020562B"/>
    <w:rsid w:val="00250E4C"/>
    <w:rsid w:val="00260053"/>
    <w:rsid w:val="00260D01"/>
    <w:rsid w:val="00275AD1"/>
    <w:rsid w:val="002A6C14"/>
    <w:rsid w:val="002C5D3E"/>
    <w:rsid w:val="002E241A"/>
    <w:rsid w:val="003103CB"/>
    <w:rsid w:val="00327ECE"/>
    <w:rsid w:val="00337919"/>
    <w:rsid w:val="0034312C"/>
    <w:rsid w:val="0034746C"/>
    <w:rsid w:val="003658D5"/>
    <w:rsid w:val="00386CE0"/>
    <w:rsid w:val="003A6C1B"/>
    <w:rsid w:val="003B5947"/>
    <w:rsid w:val="003C37C6"/>
    <w:rsid w:val="003D6A2A"/>
    <w:rsid w:val="00423E35"/>
    <w:rsid w:val="00441562"/>
    <w:rsid w:val="00456441"/>
    <w:rsid w:val="00463A8A"/>
    <w:rsid w:val="004C3AC0"/>
    <w:rsid w:val="004D59D6"/>
    <w:rsid w:val="00502C45"/>
    <w:rsid w:val="00520653"/>
    <w:rsid w:val="00552759"/>
    <w:rsid w:val="0055451C"/>
    <w:rsid w:val="00594F1A"/>
    <w:rsid w:val="005B7CCC"/>
    <w:rsid w:val="005E3733"/>
    <w:rsid w:val="005F7BC7"/>
    <w:rsid w:val="00601E4B"/>
    <w:rsid w:val="00602340"/>
    <w:rsid w:val="00611674"/>
    <w:rsid w:val="006216CC"/>
    <w:rsid w:val="006342E2"/>
    <w:rsid w:val="00640964"/>
    <w:rsid w:val="006459E5"/>
    <w:rsid w:val="006630FE"/>
    <w:rsid w:val="006F4567"/>
    <w:rsid w:val="006F6D8F"/>
    <w:rsid w:val="00716B65"/>
    <w:rsid w:val="0072249E"/>
    <w:rsid w:val="00727957"/>
    <w:rsid w:val="00746055"/>
    <w:rsid w:val="00784CC1"/>
    <w:rsid w:val="007A7A11"/>
    <w:rsid w:val="007E1E2A"/>
    <w:rsid w:val="00801701"/>
    <w:rsid w:val="00804E32"/>
    <w:rsid w:val="00815612"/>
    <w:rsid w:val="008343EC"/>
    <w:rsid w:val="0083528E"/>
    <w:rsid w:val="00843A58"/>
    <w:rsid w:val="008562DD"/>
    <w:rsid w:val="00862C90"/>
    <w:rsid w:val="00873D1A"/>
    <w:rsid w:val="00893758"/>
    <w:rsid w:val="008C6EF4"/>
    <w:rsid w:val="008F3976"/>
    <w:rsid w:val="00900900"/>
    <w:rsid w:val="009437E4"/>
    <w:rsid w:val="009441DA"/>
    <w:rsid w:val="00950C1A"/>
    <w:rsid w:val="0096068E"/>
    <w:rsid w:val="00975C7A"/>
    <w:rsid w:val="00993186"/>
    <w:rsid w:val="009C3611"/>
    <w:rsid w:val="009D7397"/>
    <w:rsid w:val="009E0102"/>
    <w:rsid w:val="009F16E1"/>
    <w:rsid w:val="00A05F8F"/>
    <w:rsid w:val="00A079A8"/>
    <w:rsid w:val="00A119DD"/>
    <w:rsid w:val="00A42429"/>
    <w:rsid w:val="00AA24BC"/>
    <w:rsid w:val="00AB75A9"/>
    <w:rsid w:val="00AC105E"/>
    <w:rsid w:val="00AD67B2"/>
    <w:rsid w:val="00AF569B"/>
    <w:rsid w:val="00B0005F"/>
    <w:rsid w:val="00B23AC8"/>
    <w:rsid w:val="00B70C40"/>
    <w:rsid w:val="00B7443D"/>
    <w:rsid w:val="00B93157"/>
    <w:rsid w:val="00B93C6D"/>
    <w:rsid w:val="00B9760B"/>
    <w:rsid w:val="00BB51EC"/>
    <w:rsid w:val="00C102A4"/>
    <w:rsid w:val="00C26C6A"/>
    <w:rsid w:val="00C3164A"/>
    <w:rsid w:val="00C525DC"/>
    <w:rsid w:val="00C66BED"/>
    <w:rsid w:val="00C85FCA"/>
    <w:rsid w:val="00C9347F"/>
    <w:rsid w:val="00CB1FF2"/>
    <w:rsid w:val="00CE5319"/>
    <w:rsid w:val="00CF578A"/>
    <w:rsid w:val="00D047F6"/>
    <w:rsid w:val="00D25B1F"/>
    <w:rsid w:val="00D30E97"/>
    <w:rsid w:val="00D37CDF"/>
    <w:rsid w:val="00D462ED"/>
    <w:rsid w:val="00D55327"/>
    <w:rsid w:val="00D600AA"/>
    <w:rsid w:val="00D65FB6"/>
    <w:rsid w:val="00D82FAD"/>
    <w:rsid w:val="00DB662B"/>
    <w:rsid w:val="00DE3C54"/>
    <w:rsid w:val="00DF7909"/>
    <w:rsid w:val="00E059D6"/>
    <w:rsid w:val="00E37807"/>
    <w:rsid w:val="00E84328"/>
    <w:rsid w:val="00EC3AD0"/>
    <w:rsid w:val="00F01DA1"/>
    <w:rsid w:val="00F10ED2"/>
    <w:rsid w:val="00F1714C"/>
    <w:rsid w:val="00F23EF1"/>
    <w:rsid w:val="00F61663"/>
    <w:rsid w:val="00F90755"/>
    <w:rsid w:val="00F95FDF"/>
    <w:rsid w:val="00FA64E0"/>
    <w:rsid w:val="00FA79E6"/>
    <w:rsid w:val="00FB5933"/>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ts.fraunhofer.de/en/departments/structural_ceramics/nonoxide_ceramics/porous_filter_ceramics/porous_ceramics_infiltration.html" TargetMode="External"/><Relationship Id="rId13" Type="http://schemas.openxmlformats.org/officeDocument/2006/relationships/hyperlink" Target="https://doi.org/10.3390/jfb1508023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73/pnas.7.4.1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c-xray.com/de/technologien/computertomografi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iencedirect.com/science/article/pii/S0021979798959860?via%3Dihub" TargetMode="External"/><Relationship Id="rId5" Type="http://schemas.openxmlformats.org/officeDocument/2006/relationships/webSettings" Target="webSettings.xml"/><Relationship Id="rId15"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10" Type="http://schemas.openxmlformats.org/officeDocument/2006/relationships/hyperlink" Target="https://www.mri.psu.edu/materials-characterization-lab/characterization-techniques/density-helium-pycnometry" TargetMode="External"/><Relationship Id="rId4" Type="http://schemas.openxmlformats.org/officeDocument/2006/relationships/settings" Target="settings.xml"/><Relationship Id="rId9" Type="http://schemas.openxmlformats.org/officeDocument/2006/relationships/hyperlink" Target="https://doi.org/10.1088/0957-0233/15/6/015" TargetMode="External"/><Relationship Id="rId14" Type="http://schemas.openxmlformats.org/officeDocument/2006/relationships/hyperlink" Target="https://www.guss.de/fileadmin/user_upload/richtlinien/bdg-richtlinie_p_2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1943</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99</cp:revision>
  <dcterms:created xsi:type="dcterms:W3CDTF">2024-11-15T17:27:00Z</dcterms:created>
  <dcterms:modified xsi:type="dcterms:W3CDTF">2024-11-28T15:37:00Z</dcterms:modified>
</cp:coreProperties>
</file>