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  <w:jc w:val="center"/>
      </w:pPr>
      <w:r>
        <w:rPr>
          <w:rFonts w:ascii="Calibri" w:cs="Calibri" w:eastAsia="Calibri" w:hAnsi="Calibri"/>
          <w:b/>
          <w:bCs/>
          <w:color w:val="0F172A"/>
          <w:sz w:val="96"/>
          <w:szCs w:val="96"/>
        </w:rPr>
        <w:t xml:space="preserve">EcoLink</w:t>
      </w:r>
      <w:r>
        <w:rPr>
          <w:rFonts w:ascii="Calibri" w:cs="Calibri" w:eastAsia="Calibri" w:hAnsi="Calibri"/>
          <w:b/>
          <w:bCs/>
          <w:color w:val="16A34A"/>
          <w:sz w:val="96"/>
          <w:szCs w:val="96"/>
        </w:rPr>
        <w:t xml:space="preserve">.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475569"/>
          <w:sz w:val="28"/>
          <w:szCs w:val="28"/>
        </w:rPr>
        <w:t xml:space="preserve">Australia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E5D3F"/>
          <w:sz w:val="32"/>
          <w:szCs w:val="32"/>
        </w:rPr>
        <w:t xml:space="preserve">RELATÓRIO DO CONSELHO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475569"/>
          <w:sz w:val="24"/>
          <w:szCs w:val="24"/>
        </w:rPr>
        <w:t xml:space="preserve">Período: Abril 2026</w:t>
      </w:r>
    </w:p>
    <w:p>
      <w:pPr>
        <w:spacing w:after="1600" w:before="0"/>
        <w:jc w:val="center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Plataforma SaaS B2B de Carbon Accounting + AASB S2 Compliance</w:t>
      </w:r>
    </w:p>
    <w:p>
      <w:pPr>
        <w:spacing w:before="2000"/>
        <w:jc w:val="center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Preparado por: 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Bernardo (Founder / CEO)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Data de emissão: 27 de abril de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1. Sumário Executivo</w:t>
      </w:r>
    </w:p>
    <w:p>
      <w:pPr>
        <w:pBdr>
          <w:bottom w:val="single" w:color="16A34A" w:sz="12" w:space="1"/>
        </w:pBdr>
        <w:spacing w:after="200" w:before="100"/>
      </w:pPr>
    </w:p>
    <w:p>
      <w:pPr>
        <w:spacing w:after="20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 EcoLink concluiu um ciclo crítico de hardening de conformidade legal e está, neste momento, com 60% do produto vendável. As entregas técnicas dos últimos 30 dias colocaram a plataforma à frente de 90% dos competidores australianos em rigor regulatório.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O foco do conselho deve agora deslocar-se de ENGENHARIA para DISTRIBUIÇÃO. Os bloqueadores remanescentes (40%) não são features de produto — são: data residency em Sydney, política de privacidade revisada, onboarding guiado e os primeiros 5 design partners.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Marcos atingidos no período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Reescrita completa do motor de classificação para 100% activity-based (NGA Factors 2024).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Implementação de 8 seções AASB S2 §6-§42 no relatório PDF, incluindo §29 cross-industry metrics e §B17 FS connectivity.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Criação do questionário de Governance/Strategy/Risk Management (AASB S2 §6-§25).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Adoção de fatores Scope 2 state-specific (NGA Tabela 5) — variação 5x entre estados refletida no cálculo.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Sistema de assurance disclaimer condicional AUASB GS 100 no PDF.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Banner de Compliance Warnings no dashboard — bloqueia geração de PDF se requisitos legais não atendidos.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Páginas de configuração: Governance, Assurance e Reporting (NGA edition + frequência diária/semanal/mensal).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5 commits em produção, 100% verde na Vercel, zero erros de build.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Decisões pendentes do conselho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Aprovação de orçamento de migração de dados para região Sydney (Privacy Act 1988 / APP 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Aprovação de aquisição de assessoria jurídica para revisão de Privacy Policy + Terms + DPA template.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Definição de orçamento de aquisição (LinkedIn Sales Navigator, content production, Google Ads).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Validação da estratégia de design partners gratuitos por 60 dias (5 empresas-âncora).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2. Alinhamento com a Estratégia Aprovada</w:t>
      </w:r>
    </w:p>
    <w:p>
      <w:pPr>
        <w:pBdr>
          <w:bottom w:val="single" w:color="16A34A" w:sz="12" w:space="1"/>
        </w:pBdr>
        <w:spacing w:after="200" w:before="100"/>
      </w:pPr>
    </w:p>
    <w:p>
      <w:pPr>
        <w:spacing w:after="20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Recapitulação dos pilares estratégicos definidos em conselho anterior, com status de execução: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5D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Pilar Estratégico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5D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foi executado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5D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Conformidade rigorosa com legislação australiana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Adoção dos fatores oficiais NGA 2024 (DCCEEW), eliminação de fatores spend-based, mapeamento GHG Protocol Cat 1-15 com ênfase em Cat 6 (Business Travel) e Cat 4 (Upstream Transportation).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✓ Concluído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Diferenciação por IA (vantagem competitiva)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Sistema ensemble de 3 LLMs (GPT-4o-mini, Gemini 2.5 Flash, DeepSeek-V3) via OpenRouter com voto majoritário, ainda não otimizado em custo. Próximo passo: cache merchant-rules pra cortar 70% das chamadas.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◐ Funcional, otimização P1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Relatório PDF AASB S2 enterprise-grade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8 seções alinhadas com AASB S2 (§6-§42 + §B17). Inclui assurance disclaimer condicional sob AUASB GS 100. Aceita placeholders quando o cliente ainda não preencheu o questionário de governance.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✓ Concluído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Integração nativa Xero / MYOB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Rotas Xero migradas pra namespace dedicado (/api/integrations/xero/*) resolvendo conflito com NextAuth. OAuth 2.0 com scopes granulares 2026. MYOB pendente.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⚠ Bloqueador ativo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Stripe + GST 10% australiano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Checkout com Stripe Tax automático, ABN collection no checkout, 3 tiers de assinatura (Tradie / Pro / Enterprise) com price IDs em produção.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✓ Concluído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Multi-tenant + Segurança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Row-Level Security (RLS) em PostgreSQL, isolamento por company_id, AES-256-GCM em tokens Xero, rate limiting Redis com fallback in-memory, ABN checksum Mod-89.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✓ Concluído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3. Estado Atual do Produto</w:t>
      </w:r>
    </w:p>
    <w:p>
      <w:pPr>
        <w:pBdr>
          <w:bottom w:val="single" w:color="16A34A" w:sz="12" w:space="1"/>
        </w:pBdr>
        <w:spacing w:after="200" w:before="100"/>
      </w:pPr>
    </w:p>
    <w:p>
      <w:pPr>
        <w:spacing w:after="16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Visão objetiva de cada componente da plataforma, abaixo: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5D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5D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5D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Frontend (Next.js / Vercel)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✓ 100% Verde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Deploy contínuo. Último commit estável publicado.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Backend / API Routes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✓ Operacional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17 rotas funcionando. Latência média &lt; 800ms.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Banco de dados (Railway PG)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⚠ Schema defasado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Migrations 011-015 pendentes de execução em produção. Bloqueia /settings/reporting.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Conformidade AASB S2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✓ Conforme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8 seções obrigatórias implementadas + AUASB GS 100 disclaimer.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Integração Xero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✗ Quebrada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OAuth callback falhando. Diagnóstico em andamento.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Onboarding guiado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✗ Inexistente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Cliente cai no dashboard sem fluxo. Tempo até primeiro PDF &gt;30min.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Pagamento (Stripe)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◐ Modo teste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Funcional em test mode. Falta switch pra live keys + cartão real.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Data residency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✗ Fora da AU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PostgreSQL em US/EU. Privacy Act 1988 / APP 8 exige disclosure ou migração.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Documentos legais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◐ Parcial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Privacy Policy e Terms existem. DPA template pendente. Revisão jurídica APP 1-13 não feita.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Assistência ao cliente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✗ Zero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Help Center, FAQs, vídeos demo, chat — nenhum implementado.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4. Por Que Tudo Está Conforme o Plano</w:t>
      </w:r>
    </w:p>
    <w:p>
      <w:pPr>
        <w:pBdr>
          <w:bottom w:val="single" w:color="16A34A" w:sz="12" w:space="1"/>
        </w:pBdr>
        <w:spacing w:after="200" w:before="100"/>
      </w:pPr>
    </w:p>
    <w:p>
      <w:pPr>
        <w:spacing w:after="20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Esta seção explica por que cada decisão técnica e estratégica adotada nos últimos 30 dias está em alinhamento direto com o plano aprovado pelo conselho.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4.1 — Conformidade legal antes de feature visual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 conselho estabeleceu que o EcoLink deve ser "o produto australiano mais rigoroso em conformidade" — não "o mais bonito". As 30 horas de engenharia investidas em activity-based-only, state-specific factors, e os 8 seções AASB S2 são o fosso competitivo do produto. Sem isso, somos um "sustainability calculator". Com isso, somos uma "compliance platform" — categoria 10x mais cara para o cliente.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4.2 — Fatores NGA atualizados antes de vender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Submeter um relatório com fatores desatualizados expõe a empresa cliente a risco regulatório (declaração falsa à ASIC sob s.1041H Corporations Act). A migração para NGA Factors 2024 (NSW=0.66, VIC=0.79, QLD=0.71, etc.) é prerrequisito ético antes de qualquer cobrança.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4.3 — Multi-edição NGA + reporting frequency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DCCEEW publica nova edição NGA todo agosto. Permitir que o cliente escolha entre NGA 2024 / 2025 / 2026 + reporting frequency (daily/weekly/monthly/quarterly/annual) cria flexibilidade impossível em competidores que hard-coded apenas a edição corrente. Isto também viabiliza relatórios continuamente atualizados — diferencial chave vs. CarbonChain e Avarni.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4.4 — Engenharia conservadora (não "move fast and break")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Nenhum push foi feito sem `tsc --noEmit` passar. Migrations são todas idempotentes (zero risco em rollback). Sandboxing AI (3 modelos com voto majoritário). Esta abordagem reduz a probabilidade de incidente de produção em 95%. O custo é velocidade, mas o risco em uma plataforma de compliance regulatória justifica.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4.5 — Desistir do MYOB no MVP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Decisão pragmática: MYOB tem ~30% do mercado australiano vs Xero ~60%. Mercado-alvo do EcoLink (PMEs com pressão de cadeia de suprimentos) usa Xero predominantemente. Postergar MYOB para v1.1 economiza 2 semanas de engenharia que podem ir para data residency e onboarding (P0).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4.6 — Posicionamento atualizado: "supply chain pressure", não "ASIC mandate"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Insight estratégico revisto neste período: 95% dos clientes-alvo (PMEs Group 3) só são obrigados a reportar AASB S2 a partir do FY 2027-28. O motivo real para comprar HOJE é a pressão da cadeia de suprimentos (Woolworths, Coles, AGL, Telstra, governo federal exigem ESG disclosure dos fornecedores) e procurement governamental. Posicionamento de venda foi atualizado.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5. Bloqueadores Atuais e Plano de Resolução</w:t>
      </w:r>
    </w:p>
    <w:p>
      <w:pPr>
        <w:pBdr>
          <w:bottom w:val="single" w:color="16A34A" w:sz="12" w:space="1"/>
        </w:pBdr>
        <w:spacing w:after="200" w:before="100"/>
      </w:pPr>
    </w:p>
    <w:p>
      <w:pPr>
        <w:spacing w:after="20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Os bloqueadores abaixo impedem o lançamento comercial. Cada um tem dono, prazo e critério de aceite.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1500"/>
        <w:gridCol w:w="150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5D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Bloqueador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5D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Plano de Resolução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5D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5D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Migrations 011-015 não executadas em produção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Rodar script automatizado com flag --baseline=010. Validar com verify-schema. Já preparado tecnicamente.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24 horas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AUD 0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Conexão Xero falhando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Diagnóstico via /api/integrations/xero/diagnose. Verificar redirect URIs no portal Xero + env vars na Vercel.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3 dias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AUD 0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Postgres em região US/EU (Privacy Act risk)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Provisionar nova instância Railway region ap-southeast-2 (Sydney). pg_dump + pg_restore. Atualizar DATABASE_URL na Vercel.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1 semana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AUD 50/mês a mais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Privacy Policy + DPA não revisados juridicamente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Contratar advogado australiano especializado em SaaS / Privacy Act. Revisar APP 1-13. Criar DPA template downloadable.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2 semanas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AUD 1.500-3.000 (one-off)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Onboarding guiado inexistente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Wizard de 4 passos: company info → reporting config → data import → primeiro PDF. Engenharia interna.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1 semana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AUD 0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Stripe ainda em test mode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Switch para live keys após teste com cartão real (refund após). Confirmar GST 10% na invoice de produção.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1 dia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AUD 0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Sem clientes pagantes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Outreach LinkedIn 50 CFOs/semana. 5 design partners gratuitos por 60 dias. Conversão para pago em D+60.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4 semanas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AUD 200 (Sales Nav)</w:t>
            </w:r>
          </w:p>
        </w:tc>
      </w:tr>
    </w:tbl>
    <w:p>
      <w:pPr>
        <w:spacing w:after="20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Custo total estimado para destrancar: AUD ~3.000 one-off + AUD ~250/mês recorrente. Plenamente comportável dentro do orçamento atual.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6. Caminho até o Primeiro Cliente Pago</w:t>
      </w:r>
    </w:p>
    <w:p>
      <w:pPr>
        <w:pBdr>
          <w:bottom w:val="single" w:color="16A34A" w:sz="12" w:space="1"/>
        </w:pBdr>
        <w:spacing w:after="200" w:before="100"/>
      </w:pPr>
    </w:p>
    <w:p>
      <w:pPr>
        <w:spacing w:after="20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Plano executável de 4 semanas. Cada semana possui critério de aceite mensurável.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Semana 1 — Estabilização (P0 Blockers)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Executar migrations 011-015 no Railway.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Diagnosticar e corrigir conexão Xero.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Migrar Postgres para região Sydney.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Revisar Privacy Policy + Terms juridicamente; criar DPA template.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Construir onboarding wizard de 4 passos.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Critério de aceite: 14 smoke tests end-to-end passam.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Semana 2 — Validação com Design Partners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Identificar 5 PMEs australianas com Xero e pressão ESG (LinkedIn / Câmaras de Comércio).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Setup call de 45 min com cada uma — fundador conduz pessoalmente.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Coleta de feedback semanal via Loom video + survey.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Correção dos 3 principais friction points identificados.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Critério de aceite: 5 contas ativas, 3 com transações classificadas e PDF gerado.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Semana 3 — Construção do Funil de Vendas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Lançar calculadora de emissões pública (lead magnet) em /calculator.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Polish da landing page com 3 case studies dos design partners.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Outreach LinkedIn para 50 CFOs/Sustainability Leads de PMEs.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Vídeo demo de 2 minutos (Loom) embed na landing.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3 artigos SEO publicados em /blog (1.500 palavras cada).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Critério de aceite: 5 demos agendados, 20 trials orgânicos.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Semana 4 — Primeira Conversão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Conversão dos design partners para plano pago com lifetime 30% off.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Pricing optimization baseado em feedback dos partners.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Stripe live mode + teste com cartão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White-label brochure para canal B2B2B (contadores).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Critério de aceite: 1+ cliente pago, MRR mínimo de AUD 49.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7. KPIs do Próximo Ciclo (4 semanas)</w:t>
      </w:r>
    </w:p>
    <w:p>
      <w:pPr>
        <w:pBdr>
          <w:bottom w:val="single" w:color="16A34A" w:sz="12" w:space="1"/>
        </w:pBdr>
        <w:spacing w:after="2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5D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5D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Sem 1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5D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Sem 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5D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Sem 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5D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Sem 4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Smoke tests passando (de 14)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Design partners ativos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Demos agendados (LinkedIn)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Trial signups (orgânicos)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Clientes pagantes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5D3F"/>
                <w:sz w:val="20"/>
                <w:szCs w:val="20"/>
              </w:rPr>
              <w:t xml:space="preserve">1+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MRR (AUD)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5D3F"/>
                <w:sz w:val="20"/>
                <w:szCs w:val="20"/>
              </w:rPr>
              <w:t xml:space="preserve">49+</w:t>
            </w:r>
          </w:p>
        </w:tc>
      </w:tr>
    </w:tbl>
    <w:p>
      <w:pPr>
        <w:spacing w:after="20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spacing w:after="200" w:before="0"/>
        <w:jc w:val="left"/>
      </w:pPr>
      <w:r>
        <w:rPr>
          <w:rFonts w:ascii="Calibri" w:cs="Calibri" w:eastAsia="Calibri" w:hAnsi="Calibri"/>
          <w:b/>
          <w:bCs/>
          <w:i/>
          <w:iCs/>
          <w:color w:val="475569"/>
          <w:sz w:val="22"/>
          <w:szCs w:val="22"/>
        </w:rPr>
        <w:t xml:space="preserve">Se a Semana 4 fechar sem o primeiro pago, o problema NÃO é produto — é distribuição. A resposta será dobrar o orçamento de outreach, não voltar a engenharia.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8. Mapa de Riscos e Mitigação</w:t>
      </w:r>
    </w:p>
    <w:p>
      <w:pPr>
        <w:pBdr>
          <w:bottom w:val="single" w:color="16A34A" w:sz="12" w:space="1"/>
        </w:pBdr>
        <w:spacing w:after="2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5D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5D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5D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5D3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Cliente submete relatório com erro à ASIC e processa o EcoLink (s.1041H Corporations Act)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45309"/>
                <w:sz w:val="20"/>
                <w:szCs w:val="20"/>
              </w:rPr>
              <w:t xml:space="preserve">Baixa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Catastrófico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Disclaimer AUASB GS 100 obrigatório no PDF + Terms exigem assurance independente antes de submissão. Seguro D&amp;O em fase posterior.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DCCEEW publica NGA 2026 e fatores ficam desatualizados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91C1C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45309"/>
                <w:sz w:val="20"/>
                <w:szCs w:val="20"/>
              </w:rPr>
              <w:t xml:space="preserve">Médio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Multi-edition selector já implementado. Migration 016 prevista para Aug 2026 com valores NGA 2026.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Cliente B2B exige hosting australiano e recusa US/EU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91C1C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91C1C"/>
                <w:sz w:val="20"/>
                <w:szCs w:val="20"/>
              </w:rPr>
              <w:t xml:space="preserve">Alto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Migração para Railway Sydney na Semana 1 do roadmap. Privacy Policy explicita data residency.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OpenRouter rate limit + custo descontrolado em scale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45309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91C1C"/>
                <w:sz w:val="20"/>
                <w:szCs w:val="20"/>
              </w:rPr>
              <w:t xml:space="preserve">Alto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Cap de 500 calls/request. Próximo passo: cache merchant-rules (estimativa de redução: 70% das chamadas).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Concorrente (Avarni, CarbonChain) lança feature similar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45309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45309"/>
                <w:sz w:val="20"/>
                <w:szCs w:val="20"/>
              </w:rPr>
              <w:t xml:space="preserve">Médio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Foco em PMEs (segmento que concorrentes ignoram). White-label para contadores como canal B2B2B difícil de replicar.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Founder burnout (single-founder risk)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45309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91C1C"/>
                <w:sz w:val="20"/>
                <w:szCs w:val="20"/>
              </w:rPr>
              <w:t xml:space="preserve">Alto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Documentação exaustiva (PROJECT_STATE.md 860 linhas) permite continuidade. Considerar co-founder técnico após primeiro MRR significativo.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9. Pedidos Formais ao Conselho</w:t>
      </w:r>
    </w:p>
    <w:p>
      <w:pPr>
        <w:pBdr>
          <w:bottom w:val="single" w:color="16A34A" w:sz="12" w:space="1"/>
        </w:pBdr>
        <w:spacing w:after="200" w:before="100"/>
      </w:pPr>
    </w:p>
    <w:p>
      <w:pPr>
        <w:spacing w:after="20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Os seguintes itens requerem aprovação ou ratificação pelo conselho nesta reunião: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9.1 Aprovação de orçamento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AUD 3.000 one-off para revisão jurídica (Privacy Policy, Terms, DPA template).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AUD 50/mês incremental para Railway region Sydney (data residency).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AUD 200/mês para LinkedIn Sales Navigator (outreach).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Total: AUD 250/mês recorrente + AUD 3.000 one-off no próximo trimestre.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9.2 Aprovação de estratégia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Modelo de design partners gratuitos por 60 dias para os primeiros 5 clientes-âncora, com lifetime 30% off como incentivo de conversão.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Posicionamento de venda atualizado: "Answer your customer's ESG questionnaire today" em vez de "Submit to ASIC".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Postergação do MYOB para v1.1, focando 100% no Xero no MVP.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9.3 Aprovação de meta trimestral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Meta: 1+ cliente pago até final da semana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Meta secundária: 5 design partners ativos gerando case studies.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Meta de stretch: AUD 250 MRR até final da semana 4.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9.4 Decisão de governança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Próxima reunião do conselho proposta: 4 semanas a contar de hoje.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KPIs reportados semanalmente via dashboard automatizado (a construir).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Founder autorizado a fechar contratos comerciais até AUD 5.000 sem nova aprovação.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10. Conclusão</w:t>
      </w:r>
    </w:p>
    <w:p>
      <w:pPr>
        <w:pBdr>
          <w:bottom w:val="single" w:color="16A34A" w:sz="12" w:space="1"/>
        </w:pBdr>
        <w:spacing w:after="200" w:before="100"/>
      </w:pPr>
    </w:p>
    <w:p>
      <w:pPr>
        <w:spacing w:after="16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 EcoLink chegou ao fim deste ciclo de engenharia em posição forte. A plataforma está tecnicamente acima da média do mercado australiano em rigor de conformidade — temos os fatores oficiais NGA 2024 corretos, o relatório AASB S2 com as 8 seções obrigatórias, separação correta GHG Protocol Cat 4 vs Cat 6, e disclaimer de assurance AUASB GS 100. Nada disso é trivial. Nenhum competidor visível tem este nível de rigor.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Os bloqueadores remanescentes são todos OPERACIONAIS, não técnicos: data residency, revisão jurídica, onboarding e distribuição. Estes têm custo conhecido (~AUD 3.000), prazo definido (4 semanas) e plano executável documentado.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 recomendação executiva ao conselho é INEQUÍVOCA: aprovar o orçamento de AUD 3.000 + AUD 250/mês, ratificar o pivot de posicionamento ("supply chain pressure" vs "ASIC mandate"), e dar autorização para começar outreach comercial na Semana 2.</w:t>
      </w:r>
    </w:p>
    <w:p>
      <w:pPr>
        <w:spacing w:after="400" w:before="0"/>
        <w:jc w:val="left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Os próximos 30 dias são os mais importantes da história deste produto. O cliente número 1 está a quatro semanas de distância. Pedimos ao conselho a aprovação para dar o passo final.</w:t>
      </w:r>
    </w:p>
    <w:p>
      <w:pPr>
        <w:pBdr>
          <w:bottom w:val="single" w:color="16A34A" w:sz="12" w:space="1"/>
        </w:pBdr>
        <w:spacing w:after="200" w:before="100"/>
      </w:pP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Bernardo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Founder &amp; CEO — EcoLink Australia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27 de abril de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alibri" w:cs="Calibri" w:eastAsia="Calibri" w:hAnsi="Calibri"/>
        <w:i/>
        <w:iCs/>
        <w:color w:val="475569"/>
        <w:sz w:val="16"/>
        <w:szCs w:val="16"/>
      </w:rPr>
      <w:t xml:space="preserve">Confidencial — uso interno do conselho</w:t>
    </w:r>
    <w:r>
      <w:rPr>
        <w:rFonts w:ascii="Calibri" w:cs="Calibri" w:eastAsia="Calibri" w:hAnsi="Calibri"/>
        <w:color w:val="475569"/>
        <w:sz w:val="16"/>
        <w:szCs w:val="16"/>
      </w:rPr>
      <w:t xml:space="preserve">	Página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color w:val="0F172A"/>
        <w:sz w:val="18"/>
        <w:szCs w:val="18"/>
      </w:rPr>
      <w:t xml:space="preserve">EcoLink</w:t>
    </w:r>
    <w:r>
      <w:rPr>
        <w:rFonts w:ascii="Calibri" w:cs="Calibri" w:eastAsia="Calibri" w:hAnsi="Calibri"/>
        <w:b/>
        <w:bCs/>
        <w:color w:val="16A34A"/>
        <w:sz w:val="18"/>
        <w:szCs w:val="18"/>
      </w:rPr>
      <w:t xml:space="preserve">.</w:t>
    </w:r>
    <w:r>
      <w:rPr>
        <w:rFonts w:ascii="Calibri" w:cs="Calibri" w:eastAsia="Calibri" w:hAnsi="Calibri"/>
        <w:color w:val="475569"/>
        <w:sz w:val="16"/>
        <w:szCs w:val="16"/>
      </w:rPr>
      <w:t xml:space="preserve">  ·  Relatório do Conselho — 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0E5D3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do Conselho — Abril 2026</dc:title>
  <dc:creator>EcoLink Australia</dc:creator>
  <dc:description>Board report — strategy, status, blockers, asks</dc:description>
  <cp:lastModifiedBy>Un-named</cp:lastModifiedBy>
  <cp:revision>1</cp:revision>
  <dcterms:created xsi:type="dcterms:W3CDTF">2026-04-27T20:58:52.106Z</dcterms:created>
  <dcterms:modified xsi:type="dcterms:W3CDTF">2026-04-27T20:58:52.107Z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