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Financial Framework</w:t>
      </w:r>
    </w:p>
    <w:p>
      <w:pPr>
        <w:pStyle w:val="FirstParagraph"/>
      </w:pPr>
      <w:r>
        <w:rPr>
          <w:b/>
          <w:bCs/>
        </w:rPr>
        <w:t xml:space="preserve">THE FINANCIAL</w:t>
      </w:r>
    </w:p>
    <w:p>
      <w:pPr>
        <w:pStyle w:val="BodyText"/>
      </w:pPr>
      <w:r>
        <w:rPr>
          <w:b/>
          <w:bCs/>
        </w:rPr>
        <w:t xml:space="preserve">FRAMEWORK</w:t>
      </w:r>
    </w:p>
    <w:p>
      <w:pPr>
        <w:pStyle w:val="BodyText"/>
      </w:pPr>
      <w:r>
        <w:rPr>
          <w:i/>
          <w:iCs/>
        </w:rPr>
        <w:t xml:space="preserve">How Money Flows Through</w:t>
      </w:r>
    </w:p>
    <w:p>
      <w:pPr>
        <w:pStyle w:val="BodyText"/>
      </w:pPr>
      <w:r>
        <w:rPr>
          <w:i/>
          <w:iCs/>
        </w:rPr>
        <w:t xml:space="preserve">the Faleth Capital Ecosystem</w:t>
      </w:r>
    </w:p>
    <w:p>
      <w:pPr>
        <w:pStyle w:val="BodyText"/>
      </w:pPr>
      <w:r>
        <w:t xml:space="preserve">Faleth Capital</w:t>
      </w:r>
    </w:p>
    <w:p>
      <w:pPr>
        <w:pStyle w:val="BodyText"/>
      </w:pPr>
      <w:r>
        <w:t xml:space="preserve">Internal Framework Document</w:t>
      </w:r>
    </w:p>
    <w:p>
      <w:pPr>
        <w:pStyle w:val="BodyText"/>
      </w:pPr>
      <w:r>
        <w:t xml:space="preserve">Version 1.2 — Draft</w:t>
      </w:r>
    </w:p>
    <w:p>
      <w:pPr>
        <w:pStyle w:val="BodyText"/>
      </w:pPr>
      <w:r>
        <w:rPr>
          <w:i/>
          <w:iCs/>
        </w:rPr>
        <w:t xml:space="preserve">This document details the financial mechanics summarized in Article III of the Faleth Capital Constitution. For the philosophical foundation — the One-Third Rule, the Two Buckets, and the mission — see Article I. For how weekly compensation is calculated at the subsidiary level, see The Contribution Framework.</w:t>
      </w:r>
    </w:p>
    <w:bookmarkStart w:id="9" w:name="section-1-the-parent-company-fee"/>
    <w:p>
      <w:pPr>
        <w:pStyle w:val="Heading1"/>
      </w:pPr>
      <w:r>
        <w:t xml:space="preserve">Section 1: The Parent Company Fee</w:t>
      </w:r>
    </w:p>
    <w:p>
      <w:pPr>
        <w:pStyle w:val="FirstParagraph"/>
      </w:pPr>
      <w:r>
        <w:t xml:space="preserve">Each subsidiary pays a fee to Faleth Capital. The fee is calculated as the higher of:</w:t>
      </w:r>
    </w:p>
    <w:p>
      <w:pPr>
        <w:pStyle w:val="Compact"/>
        <w:numPr>
          <w:ilvl w:val="0"/>
          <w:numId w:val="1001"/>
        </w:numPr>
      </w:pPr>
      <w:r>
        <w:t xml:space="preserve">5% of top-line revenue, or</w:t>
      </w:r>
    </w:p>
    <w:p>
      <w:pPr>
        <w:pStyle w:val="Compact"/>
        <w:numPr>
          <w:ilvl w:val="0"/>
          <w:numId w:val="1001"/>
        </w:numPr>
      </w:pPr>
      <w:r>
        <w:t xml:space="preserve">One-third (33.3%) of bottom-line net profit.</w:t>
      </w:r>
    </w:p>
    <w:p>
      <w:pPr>
        <w:pStyle w:val="FirstParagraph"/>
      </w:pPr>
      <w:r>
        <w:t xml:space="preserve">Whichever produces the higher number in a given quarter is the amount collected. This structure protects the office's income floor (via the revenue-based calculation) while also ensuring that highly profitable subsidiaries contribute proportionally (via the profit-based calculation). The fee funds the shared liquidity pool, dividends, office-level profit share, and the minimal operating expenses of the office itself.</w:t>
      </w:r>
    </w:p>
    <w:bookmarkEnd w:id="9"/>
    <w:bookmarkStart w:id="10" w:name="X677e2de80ced44033d53bd97ca388a66fa70521"/>
    <w:p>
      <w:pPr>
        <w:pStyle w:val="Heading1"/>
      </w:pPr>
      <w:r>
        <w:t xml:space="preserve">Section 2: Subsidiary-Level Financial Flow</w:t>
      </w:r>
    </w:p>
    <w:p>
      <w:pPr>
        <w:pStyle w:val="FirstParagraph"/>
      </w:pPr>
      <w:r>
        <w:t xml:space="preserve">Each subsidiary's financial flow follows this sequence: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Component</w:t>
            </w:r>
          </w:p>
        </w:tc>
        <w:tc>
          <w:tcPr/>
          <w:p>
            <w:pPr>
              <w:pStyle w:val="Compact"/>
            </w:pPr>
            <w:r>
              <w:rPr>
                <w:b/>
                <w:bCs/>
              </w:rPr>
              <w:t xml:space="preserve">Description</w:t>
            </w:r>
          </w:p>
        </w:tc>
      </w:tr>
      <w:tr>
        <w:tc>
          <w:tcPr/>
          <w:p>
            <w:pPr>
              <w:pStyle w:val="Compact"/>
            </w:pPr>
            <w:r>
              <w:t xml:space="preserve">Revenue</w:t>
            </w:r>
          </w:p>
        </w:tc>
        <w:tc>
          <w:tcPr/>
          <w:p>
            <w:pPr>
              <w:pStyle w:val="Compact"/>
            </w:pPr>
            <w:r>
              <w:t xml:space="preserve">Total collected from customers</w:t>
            </w:r>
          </w:p>
        </w:tc>
      </w:tr>
      <w:tr>
        <w:tc>
          <w:tcPr/>
          <w:p>
            <w:pPr>
              <w:pStyle w:val="Compact"/>
            </w:pPr>
            <w:r>
              <w:t xml:space="preserve">Cost of Goods (COG)</w:t>
            </w:r>
          </w:p>
        </w:tc>
        <w:tc>
          <w:tcPr/>
          <w:p>
            <w:pPr>
              <w:pStyle w:val="Compact"/>
            </w:pPr>
            <w:r>
              <w:t xml:space="preserve">Direct material and parts costs</w:t>
            </w:r>
          </w:p>
        </w:tc>
      </w:tr>
      <w:tr>
        <w:tc>
          <w:tcPr/>
          <w:p>
            <w:pPr>
              <w:pStyle w:val="Compact"/>
            </w:pPr>
            <w:r>
              <w:t xml:space="preserve">Gross Profit</w:t>
            </w:r>
          </w:p>
        </w:tc>
        <w:tc>
          <w:tcPr/>
          <w:p>
            <w:pPr>
              <w:pStyle w:val="Compact"/>
            </w:pPr>
            <w:r>
              <w:t xml:space="preserve">Revenue minus COG; the value the team directly created</w:t>
            </w:r>
          </w:p>
        </w:tc>
      </w:tr>
      <w:tr>
        <w:tc>
          <w:tcPr/>
          <w:p>
            <w:pPr>
              <w:pStyle w:val="Compact"/>
            </w:pPr>
            <w:r>
              <w:t xml:space="preserve">Cost of Acquisition (COA)</w:t>
            </w:r>
          </w:p>
        </w:tc>
        <w:tc>
          <w:tcPr/>
          <w:p>
            <w:pPr>
              <w:pStyle w:val="Compact"/>
            </w:pPr>
            <w:r>
              <w:t xml:space="preserve">Marketing and customer acquisition costs; in consumer-facing subsidiaries, this budget may be deployed as the referral bonus described in The Marketing and Brand Framework</w:t>
            </w:r>
          </w:p>
        </w:tc>
      </w:tr>
      <w:tr>
        <w:tc>
          <w:tcPr/>
          <w:p>
            <w:pPr>
              <w:pStyle w:val="Compact"/>
            </w:pPr>
            <w:r>
              <w:t xml:space="preserve">Cost of Fulfillment (COF)</w:t>
            </w:r>
          </w:p>
        </w:tc>
        <w:tc>
          <w:tcPr/>
          <w:p>
            <w:pPr>
              <w:pStyle w:val="Compact"/>
            </w:pPr>
            <w:r>
              <w:t xml:space="preserve">The team pool for weekly contribution-based pay (Layer 2)</w:t>
            </w:r>
          </w:p>
        </w:tc>
      </w:tr>
      <w:tr>
        <w:tc>
          <w:tcPr/>
          <w:p>
            <w:pPr>
              <w:pStyle w:val="Compact"/>
            </w:pPr>
            <w:r>
              <w:t xml:space="preserve">Fixed Costs</w:t>
            </w:r>
          </w:p>
        </w:tc>
        <w:tc>
          <w:tcPr/>
          <w:p>
            <w:pPr>
              <w:pStyle w:val="Compact"/>
            </w:pPr>
            <w:r>
              <w:t xml:space="preserve">Rent, utilities, insurance, software, and other monthly expenses</w:t>
            </w:r>
          </w:p>
        </w:tc>
      </w:tr>
      <w:tr>
        <w:tc>
          <w:tcPr/>
          <w:p>
            <w:pPr>
              <w:pStyle w:val="Compact"/>
            </w:pPr>
            <w:r>
              <w:t xml:space="preserve">Parent Company Fee</w:t>
            </w:r>
          </w:p>
        </w:tc>
        <w:tc>
          <w:tcPr/>
          <w:p>
            <w:pPr>
              <w:pStyle w:val="Compact"/>
            </w:pPr>
            <w:r>
              <w:t xml:space="preserve">Higher of 5% of revenue or 1/3 of net profit, paid to Faleth Capital</w:t>
            </w:r>
          </w:p>
        </w:tc>
      </w:tr>
      <w:tr>
        <w:tc>
          <w:tcPr/>
          <w:p>
            <w:pPr>
              <w:pStyle w:val="Compact"/>
            </w:pPr>
            <w:r>
              <w:t xml:space="preserve">Subsidiary Profit Share (20%)</w:t>
            </w:r>
          </w:p>
        </w:tc>
        <w:tc>
          <w:tcPr/>
          <w:p>
            <w:pPr>
              <w:pStyle w:val="Compact"/>
            </w:pPr>
            <w:r>
              <w:t xml:space="preserve">Distributed quarterly to subsidiary team based on Layer 2 earnings</w:t>
            </w:r>
          </w:p>
        </w:tc>
      </w:tr>
      <w:tr>
        <w:tc>
          <w:tcPr/>
          <w:p>
            <w:pPr>
              <w:pStyle w:val="Compact"/>
            </w:pPr>
            <w:r>
              <w:t xml:space="preserve">Subsidiary Net Profit</w:t>
            </w:r>
          </w:p>
        </w:tc>
        <w:tc>
          <w:tcPr/>
          <w:p>
            <w:pPr>
              <w:pStyle w:val="Compact"/>
            </w:pPr>
            <w:r>
              <w:t xml:space="preserve">Retained by the subsidiary for reinvestment and reserves</w:t>
            </w:r>
          </w:p>
        </w:tc>
      </w:tr>
    </w:tbl>
    <w:p>
      <w:pPr>
        <w:pStyle w:val="BodyText"/>
      </w:pPr>
      <w:r>
        <w:rPr>
          <w:i/>
          <w:iCs/>
        </w:rPr>
        <w:t xml:space="preserve">For the detailed mechanics of how the team pool (COF) is divided among participants using contribution points, see Section 2 of the Contribution Framework.</w:t>
      </w:r>
    </w:p>
    <w:bookmarkEnd w:id="10"/>
    <w:bookmarkStart w:id="16" w:name="section-3-family-office-financial-flow"/>
    <w:p>
      <w:pPr>
        <w:pStyle w:val="Heading1"/>
      </w:pPr>
      <w:r>
        <w:t xml:space="preserve">Section 3: Family Office Financial Flow</w:t>
      </w:r>
    </w:p>
    <w:bookmarkStart w:id="11" w:name="the-unified-pool"/>
    <w:p>
      <w:pPr>
        <w:pStyle w:val="Heading2"/>
      </w:pPr>
      <w:r>
        <w:t xml:space="preserve">3.1 — The Unified Pool</w:t>
      </w:r>
    </w:p>
    <w:p>
      <w:pPr>
        <w:pStyle w:val="FirstParagraph"/>
      </w:pPr>
      <w:r>
        <w:t xml:space="preserve">Faleth Capital operates one unified pool of capital. The office's own equity and any investor capital exist in the same pool, with ownership tracked by percentage rather than separated into parallel structures. If the office holds $2 billion in equity and an investor contributes $3 billion, the total pool is $5 billion — the office owns 40% and the investor owns 60%. Every dollar in the pool is managed by the same people, deployed by the same philosophy, and subject to the same deployment discipline.</w:t>
      </w:r>
    </w:p>
    <w:p>
      <w:pPr>
        <w:pStyle w:val="BodyText"/>
      </w:pPr>
      <w:r>
        <w:t xml:space="preserve">This is not a fund-within-a-fund model. It is a shared table. The percentages determine who owns what share of the outcome. The math is the same regardless of how many investors are at the table or what their proportional stakes are.</w:t>
      </w:r>
    </w:p>
    <w:bookmarkEnd w:id="11"/>
    <w:bookmarkStart w:id="13" w:name="the-deployment-rule"/>
    <w:p>
      <w:pPr>
        <w:pStyle w:val="Heading2"/>
      </w:pPr>
      <w:r>
        <w:t xml:space="preserve">3.2 — The Deployment Rule</w:t>
      </w:r>
    </w:p>
    <w:p>
      <w:pPr>
        <w:pStyle w:val="FirstParagraph"/>
      </w:pPr>
      <w:r>
        <w:t xml:space="preserve">At any given time, the pool targets a 50/50 split between deployed and liquid capital:</w:t>
      </w:r>
    </w:p>
    <w:p>
      <w:pPr>
        <w:pStyle w:val="Compact"/>
        <w:numPr>
          <w:ilvl w:val="0"/>
          <w:numId w:val="1002"/>
        </w:numPr>
      </w:pPr>
      <w:r>
        <w:rPr>
          <w:b/>
          <w:bCs/>
        </w:rPr>
        <w:t xml:space="preserve">Deployed capital</w:t>
      </w:r>
      <w:r>
        <w:t xml:space="preserve"> </w:t>
      </w:r>
      <w:r>
        <w:t xml:space="preserve">is the combined value of all subsidiary balance sheets — the operating businesses the pool has funded and owns.</w:t>
      </w:r>
    </w:p>
    <w:p>
      <w:pPr>
        <w:pStyle w:val="Compact"/>
        <w:numPr>
          <w:ilvl w:val="0"/>
          <w:numId w:val="1002"/>
        </w:numPr>
      </w:pPr>
      <w:r>
        <w:rPr>
          <w:b/>
          <w:bCs/>
        </w:rPr>
        <w:t xml:space="preserve">Liquid capital</w:t>
      </w:r>
      <w:r>
        <w:t xml:space="preserve"> </w:t>
      </w:r>
      <w:r>
        <w:t xml:space="preserve">is the uninvested portion: cash, equivalents, and other liquid holdings held in reserve.</w:t>
      </w:r>
    </w:p>
    <w:p>
      <w:pPr>
        <w:pStyle w:val="FirstParagraph"/>
      </w:pPr>
      <w:r>
        <w:t xml:space="preserve">This rule applies to the total pool, not to the office's holdings in isolation. If the total pool is $5 billion, approximately $2.5 billion should be deployed into operating businesses and $2.5 billion should be liquid.</w:t>
      </w:r>
    </w:p>
    <w:bookmarkStart w:id="12" w:name="what-happens-when-the-balance-shifts"/>
    <w:p>
      <w:pPr>
        <w:pStyle w:val="Heading3"/>
      </w:pPr>
      <w:r>
        <w:t xml:space="preserve">What Happens When the Balance Shifts</w:t>
      </w:r>
    </w:p>
    <w:p>
      <w:pPr>
        <w:pStyle w:val="FirstParagraph"/>
      </w:pPr>
      <w:r>
        <w:t xml:space="preserve">The 50/50 target is a discipline, not a hard constraint. Life will move the ratio. New subsidiaries get funded. Investors withdraw capital. Businesses grow. The right response depends on which direction the balance has moved.</w:t>
      </w:r>
    </w:p>
    <w:p>
      <w:pPr>
        <w:pStyle w:val="BodyText"/>
      </w:pPr>
      <w:r>
        <w:rPr>
          <w:b/>
          <w:bCs/>
        </w:rPr>
        <w:t xml:space="preserve">If deployed capital exceeds 50%:</w:t>
      </w:r>
      <w:r>
        <w:t xml:space="preserve"> </w:t>
      </w:r>
      <w:r>
        <w:t xml:space="preserve">The pool is over-committed. No new capital should be deployed until liquid reserves rebuild. The signal is clear: slow spend, let operating income accumulate in the liquid side, and wait for the ratio to normalize before making new commitments.</w:t>
      </w:r>
    </w:p>
    <w:p>
      <w:pPr>
        <w:pStyle w:val="BodyText"/>
      </w:pPr>
      <w:r>
        <w:rPr>
          <w:b/>
          <w:bCs/>
        </w:rPr>
        <w:t xml:space="preserve">If liquid capital exceeds 50%:</w:t>
      </w:r>
      <w:r>
        <w:t xml:space="preserve"> </w:t>
      </w:r>
      <w:r>
        <w:t xml:space="preserve">The pool has capacity. This is the signal to look for the next subsidiary to fund, the next builder ready to launch. Excess liquidity is not a problem — it is opportunity waiting for the right moment.</w:t>
      </w:r>
    </w:p>
    <w:p>
      <w:pPr>
        <w:pStyle w:val="BodyText"/>
      </w:pPr>
      <w:r>
        <w:rPr>
          <w:b/>
          <w:bCs/>
        </w:rPr>
        <w:t xml:space="preserve">If an investor withdraws capital:</w:t>
      </w:r>
      <w:r>
        <w:t xml:space="preserve"> </w:t>
      </w:r>
      <w:r>
        <w:t xml:space="preserve">Their exit does not force the sale of any operating business. It reduces the liquid side of the pool. If the withdrawal pushes deployed capital above 50% of what remains, the office does not liquidate assets to compensate — it slows new spending until operating income and the remaining liquidity restore the balance naturally.</w:t>
      </w:r>
    </w:p>
    <w:p>
      <w:pPr>
        <w:pStyle w:val="BodyText"/>
      </w:pPr>
      <w:r>
        <w:t xml:space="preserve">This is the same Talmudic principle that runs through the entire system: always maintain liquid capital alongside business investments. It is applied here at the pool level, ensuring the office is never fully committed and always has reserves to weather downturns or capitalize on opportunities.</w:t>
      </w:r>
    </w:p>
    <w:bookmarkEnd w:id="12"/>
    <w:bookmarkEnd w:id="13"/>
    <w:bookmarkStart w:id="14" w:name="quarterly-math"/>
    <w:p>
      <w:pPr>
        <w:pStyle w:val="Heading2"/>
      </w:pPr>
      <w:r>
        <w:t xml:space="preserve">3.3 — Quarterly Math</w:t>
      </w:r>
    </w:p>
    <w:p>
      <w:pPr>
        <w:pStyle w:val="FirstParagraph"/>
      </w:pPr>
      <w:r>
        <w:t xml:space="preserve">The math is deliberately simple. Each quarter, you look at one pool balance sheet and compare it to last quarter. All allocations are calculated simultaneously off the same snapshot — no calculation's output feeds into another's input.</w:t>
      </w:r>
    </w:p>
    <w:p>
      <w:pPr>
        <w:pStyle w:val="BodyText"/>
      </w:pPr>
      <w:r>
        <w:rPr>
          <w:b/>
          <w:bCs/>
        </w:rPr>
        <w:t xml:space="preserve">Step 1:</w:t>
      </w:r>
      <w:r>
        <w:t xml:space="preserve"> </w:t>
      </w:r>
      <w:r>
        <w:t xml:space="preserve">Calculate total pool growth for the quarter. This is the combined growth of all deployed assets and liquid holdings across the entire pool — the office's portion and any investor portions together.</w:t>
      </w:r>
    </w:p>
    <w:p>
      <w:pPr>
        <w:pStyle w:val="BodyText"/>
      </w:pPr>
      <w:r>
        <w:rPr>
          <w:b/>
          <w:bCs/>
        </w:rPr>
        <w:t xml:space="preserve">Step 2:</w:t>
      </w:r>
      <w:r>
        <w:t xml:space="preserve"> </w:t>
      </w:r>
      <w:r>
        <w:t xml:space="preserve">20% of total pool growth goes to employees as the office-level profit share, distributed across all participants by total Layer 2 pay. This comes off total pool growth because the team's work is what made the pool grow. If the pool did not grow — or shrank — there is no profit share at this layer. Layer 2 and subsidiary profit share (Layer 3a) continue regardless, as they operate independently of the office-level pool.</w:t>
      </w:r>
    </w:p>
    <w:p>
      <w:pPr>
        <w:pStyle w:val="BodyText"/>
      </w:pPr>
      <w:r>
        <w:rPr>
          <w:b/>
          <w:bCs/>
        </w:rPr>
        <w:t xml:space="preserve">Step 3 (simultaneously):</w:t>
      </w:r>
      <w:r>
        <w:t xml:space="preserve"> </w:t>
      </w:r>
      <w:r>
        <w:t xml:space="preserve">On the investor's proportional share of pool growth, the office collects its management and performance fees (see Section 3.4). The investor receives what remains of their slice's growth after fees and after the 20% profit share contribution.</w:t>
      </w:r>
    </w:p>
    <w:p>
      <w:pPr>
        <w:pStyle w:val="BodyText"/>
      </w:pPr>
      <w:r>
        <w:rPr>
          <w:b/>
          <w:bCs/>
        </w:rPr>
        <w:t xml:space="preserve">Step 4 (simultaneously):</w:t>
      </w:r>
      <w:r>
        <w:t xml:space="preserve"> </w:t>
      </w:r>
      <w:r>
        <w:t xml:space="preserve">The office's proportional share of pool growth, plus the fees earned from managing investor capital, are split: 30% goes to Class B shareholders as dividends, and 50% is retained in the liquidity pool.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Allocation</w:t>
            </w:r>
          </w:p>
        </w:tc>
        <w:tc>
          <w:tcPr/>
          <w:p>
            <w:pPr>
              <w:pStyle w:val="Compact"/>
            </w:pPr>
            <w:r>
              <w:rPr>
                <w:b/>
                <w:bCs/>
              </w:rPr>
              <w:t xml:space="preserve">Calculated From</w:t>
            </w:r>
          </w:p>
        </w:tc>
        <w:tc>
          <w:tcPr/>
          <w:p>
            <w:pPr>
              <w:pStyle w:val="Compact"/>
            </w:pPr>
            <w:r>
              <w:rPr>
                <w:b/>
                <w:bCs/>
              </w:rPr>
              <w:t xml:space="preserve">Goes To</w:t>
            </w:r>
          </w:p>
        </w:tc>
      </w:tr>
      <w:tr>
        <w:tc>
          <w:tcPr/>
          <w:p>
            <w:pPr>
              <w:pStyle w:val="Compact"/>
            </w:pPr>
            <w:r>
              <w:t xml:space="preserve">20%</w:t>
            </w:r>
          </w:p>
        </w:tc>
        <w:tc>
          <w:tcPr/>
          <w:p>
            <w:pPr>
              <w:pStyle w:val="Compact"/>
            </w:pPr>
            <w:r>
              <w:t xml:space="preserve">Total pool growth</w:t>
            </w:r>
          </w:p>
        </w:tc>
        <w:tc>
          <w:tcPr/>
          <w:p>
            <w:pPr>
              <w:pStyle w:val="Compact"/>
            </w:pPr>
            <w:r>
              <w:t xml:space="preserve">Employee profit share (all participants, by Layer 2 pay)</w:t>
            </w:r>
          </w:p>
        </w:tc>
      </w:tr>
      <w:tr>
        <w:tc>
          <w:tcPr/>
          <w:p>
            <w:pPr>
              <w:pStyle w:val="Compact"/>
            </w:pPr>
            <w:r>
              <w:t xml:space="preserve">30%</w:t>
            </w:r>
          </w:p>
        </w:tc>
        <w:tc>
          <w:tcPr/>
          <w:p>
            <w:pPr>
              <w:pStyle w:val="Compact"/>
            </w:pPr>
            <w:r>
              <w:t xml:space="preserve">Office's share of pool growth + fees earned</w:t>
            </w:r>
          </w:p>
        </w:tc>
        <w:tc>
          <w:tcPr/>
          <w:p>
            <w:pPr>
              <w:pStyle w:val="Compact"/>
            </w:pPr>
            <w:r>
              <w:t xml:space="preserve">Class B shareholder dividends</w:t>
            </w:r>
          </w:p>
        </w:tc>
      </w:tr>
      <w:tr>
        <w:tc>
          <w:tcPr/>
          <w:p>
            <w:pPr>
              <w:pStyle w:val="Compact"/>
            </w:pPr>
            <w:r>
              <w:t xml:space="preserve">50%</w:t>
            </w:r>
          </w:p>
        </w:tc>
        <w:tc>
          <w:tcPr/>
          <w:p>
            <w:pPr>
              <w:pStyle w:val="Compact"/>
            </w:pPr>
            <w:r>
              <w:t xml:space="preserve">Office's share of pool growth + fees earned</w:t>
            </w:r>
          </w:p>
        </w:tc>
        <w:tc>
          <w:tcPr/>
          <w:p>
            <w:pPr>
              <w:pStyle w:val="Compact"/>
            </w:pPr>
            <w:r>
              <w:t xml:space="preserve">Liquidity pool (retained by Faleth Capital)</w:t>
            </w:r>
          </w:p>
        </w:tc>
      </w:tr>
      <w:tr>
        <w:tc>
          <w:tcPr/>
          <w:p>
            <w:pPr>
              <w:pStyle w:val="Compact"/>
            </w:pPr>
            <w:r>
              <w:t xml:space="preserve">Remainder</w:t>
            </w:r>
          </w:p>
        </w:tc>
        <w:tc>
          <w:tcPr/>
          <w:p>
            <w:pPr>
              <w:pStyle w:val="Compact"/>
            </w:pPr>
            <w:r>
              <w:t xml:space="preserve">Investor's share of pool growth, after fees and profit share contribution</w:t>
            </w:r>
          </w:p>
        </w:tc>
        <w:tc>
          <w:tcPr/>
          <w:p>
            <w:pPr>
              <w:pStyle w:val="Compact"/>
            </w:pPr>
            <w:r>
              <w:t xml:space="preserve">MCA holders</w:t>
            </w:r>
          </w:p>
        </w:tc>
      </w:tr>
    </w:tbl>
    <w:p>
      <w:pPr>
        <w:pStyle w:val="BodyText"/>
      </w:pPr>
      <w:r>
        <w:t xml:space="preserve">All calculations happen at the same time off the same quarterly snapshot, and all payments go out together — profit share and dividends land in the same quarterly distribution. A fifth grader could audit it.</w:t>
      </w:r>
    </w:p>
    <w:bookmarkEnd w:id="14"/>
    <w:bookmarkStart w:id="15" w:name="investor-fees-2-and-20"/>
    <w:p>
      <w:pPr>
        <w:pStyle w:val="Heading2"/>
      </w:pPr>
      <w:r>
        <w:t xml:space="preserve">3.4 — Investor Fees (2 and 20)</w:t>
      </w:r>
    </w:p>
    <w:p>
      <w:pPr>
        <w:pStyle w:val="FirstParagraph"/>
      </w:pPr>
      <w:r>
        <w:t xml:space="preserve">The office charges investors for the service of managing their capital. The fee structure mirrors standard private equity practice:</w:t>
      </w:r>
    </w:p>
    <w:p>
      <w:pPr>
        <w:pStyle w:val="Compact"/>
        <w:numPr>
          <w:ilvl w:val="0"/>
          <w:numId w:val="1003"/>
        </w:numPr>
      </w:pPr>
      <w:r>
        <w:rPr>
          <w:b/>
          <w:bCs/>
        </w:rPr>
        <w:t xml:space="preserve">2% annual management fee</w:t>
      </w:r>
      <w:r>
        <w:t xml:space="preserve">, charged as 0.5% per quarter, on the investor's total capital in the pool (their AUM). This fee is charged regardless of performance — it covers the cost of active management. In a quarter where the pool does not grow, the management fee still applies.</w:t>
      </w:r>
    </w:p>
    <w:p>
      <w:pPr>
        <w:pStyle w:val="Compact"/>
        <w:numPr>
          <w:ilvl w:val="0"/>
          <w:numId w:val="1003"/>
        </w:numPr>
      </w:pPr>
      <w:r>
        <w:rPr>
          <w:b/>
          <w:bCs/>
        </w:rPr>
        <w:t xml:space="preserve">20% performance fee</w:t>
      </w:r>
      <w:r>
        <w:t xml:space="preserve">, charged on the investor's proportional share of pool growth in any given quarter. If the pool shrank, there is no performance fee. The office only earns this when the investor's capital actually grew.</w:t>
      </w:r>
    </w:p>
    <w:p>
      <w:pPr>
        <w:pStyle w:val="FirstParagraph"/>
      </w:pPr>
      <w:r>
        <w:t xml:space="preserve">Both fees flow to the office as genuine income, which means they contribute to the office's share of the pool — and therefore to the 30% Class B dividend pool and the 50% liquidity retention.</w:t>
      </w:r>
    </w:p>
    <w:p>
      <w:pPr>
        <w:pStyle w:val="BodyText"/>
      </w:pPr>
      <w:r>
        <w:rPr>
          <w:i/>
          <w:iCs/>
        </w:rPr>
        <w:t xml:space="preserve">For the full mechanics of how MCA investor capital is structured, how book value per share is calculated, and the investor proposition, see Section 7 of the Equity Framework.</w:t>
      </w:r>
    </w:p>
    <w:bookmarkEnd w:id="15"/>
    <w:bookmarkEnd w:id="16"/>
    <w:bookmarkStart w:id="17" w:name="section-4-layered-incentive-alignment"/>
    <w:p>
      <w:pPr>
        <w:pStyle w:val="Heading1"/>
      </w:pPr>
      <w:r>
        <w:t xml:space="preserve">Section 4: Layered Incentive Alignment</w:t>
      </w:r>
    </w:p>
    <w:p>
      <w:pPr>
        <w:pStyle w:val="FirstParagraph"/>
      </w:pPr>
      <w:r>
        <w:t xml:space="preserve">The system creates three layers of financial incentive, each operating at a different time horizon and scope: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Layer</w:t>
            </w:r>
          </w:p>
        </w:tc>
        <w:tc>
          <w:tcPr/>
          <w:p>
            <w:pPr>
              <w:pStyle w:val="Compact"/>
            </w:pPr>
            <w:r>
              <w:rPr>
                <w:b/>
                <w:bCs/>
              </w:rPr>
              <w:t xml:space="preserve">Source</w:t>
            </w:r>
          </w:p>
        </w:tc>
        <w:tc>
          <w:tcPr/>
          <w:p>
            <w:pPr>
              <w:pStyle w:val="Compact"/>
            </w:pPr>
            <w:r>
              <w:rPr>
                <w:b/>
                <w:bCs/>
              </w:rPr>
              <w:t xml:space="preserve">Frequency</w:t>
            </w:r>
          </w:p>
        </w:tc>
        <w:tc>
          <w:tcPr/>
          <w:p>
            <w:pPr>
              <w:pStyle w:val="Compact"/>
            </w:pPr>
            <w:r>
              <w:rPr>
                <w:b/>
                <w:bCs/>
              </w:rPr>
              <w:t xml:space="preserve">Scope of Alignment</w:t>
            </w:r>
          </w:p>
        </w:tc>
      </w:tr>
      <w:tr>
        <w:tc>
          <w:tcPr/>
          <w:p>
            <w:pPr>
              <w:pStyle w:val="Compact"/>
            </w:pPr>
            <w:r>
              <w:t xml:space="preserve">Layer 2</w:t>
            </w:r>
          </w:p>
        </w:tc>
        <w:tc>
          <w:tcPr/>
          <w:p>
            <w:pPr>
              <w:pStyle w:val="Compact"/>
            </w:pPr>
            <w:r>
              <w:t xml:space="preserve">Gross margin × COF rate</w:t>
            </w:r>
          </w:p>
        </w:tc>
        <w:tc>
          <w:tcPr/>
          <w:p>
            <w:pPr>
              <w:pStyle w:val="Compact"/>
            </w:pPr>
            <w:r>
              <w:t xml:space="preserve">Weekly</w:t>
            </w:r>
          </w:p>
        </w:tc>
        <w:tc>
          <w:tcPr/>
          <w:p>
            <w:pPr>
              <w:pStyle w:val="Compact"/>
            </w:pPr>
            <w:r>
              <w:t xml:space="preserve">Your direct work, this week</w:t>
            </w:r>
          </w:p>
        </w:tc>
      </w:tr>
      <w:tr>
        <w:tc>
          <w:tcPr/>
          <w:p>
            <w:pPr>
              <w:pStyle w:val="Compact"/>
            </w:pPr>
            <w:r>
              <w:t xml:space="preserve">Layer 3a</w:t>
            </w:r>
          </w:p>
        </w:tc>
        <w:tc>
          <w:tcPr/>
          <w:p>
            <w:pPr>
              <w:pStyle w:val="Compact"/>
            </w:pPr>
            <w:r>
              <w:t xml:space="preserve">20% of subsidiary net profit (or 10%/10% unit/subsidiary split in multi-unit subsidiaries)</w:t>
            </w:r>
          </w:p>
        </w:tc>
        <w:tc>
          <w:tcPr/>
          <w:p>
            <w:pPr>
              <w:pStyle w:val="Compact"/>
            </w:pPr>
            <w:r>
              <w:t xml:space="preserve">Quarterly</w:t>
            </w:r>
          </w:p>
        </w:tc>
        <w:tc>
          <w:tcPr/>
          <w:p>
            <w:pPr>
              <w:pStyle w:val="Compact"/>
            </w:pPr>
            <w:r>
              <w:t xml:space="preserve">Your unit and your subsidiary's overall health</w:t>
            </w:r>
          </w:p>
        </w:tc>
      </w:tr>
      <w:tr>
        <w:tc>
          <w:tcPr/>
          <w:p>
            <w:pPr>
              <w:pStyle w:val="Compact"/>
            </w:pPr>
            <w:r>
              <w:t xml:space="preserve">Layer 3b</w:t>
            </w:r>
          </w:p>
        </w:tc>
        <w:tc>
          <w:tcPr/>
          <w:p>
            <w:pPr>
              <w:pStyle w:val="Compact"/>
            </w:pPr>
            <w:r>
              <w:t xml:space="preserve">20% of total pool growth</w:t>
            </w:r>
          </w:p>
        </w:tc>
        <w:tc>
          <w:tcPr/>
          <w:p>
            <w:pPr>
              <w:pStyle w:val="Compact"/>
            </w:pPr>
            <w:r>
              <w:t xml:space="preserve">Quarterly</w:t>
            </w:r>
          </w:p>
        </w:tc>
        <w:tc>
          <w:tcPr/>
          <w:p>
            <w:pPr>
              <w:pStyle w:val="Compact"/>
            </w:pPr>
            <w:r>
              <w:t xml:space="preserve">The entire portfolio's health</w:t>
            </w:r>
          </w:p>
        </w:tc>
      </w:tr>
      <w:tr>
        <w:tc>
          <w:tcPr/>
          <w:p>
            <w:pPr>
              <w:pStyle w:val="Compact"/>
            </w:pPr>
            <w:r>
              <w:t xml:space="preserve">Dividends</w:t>
            </w:r>
          </w:p>
        </w:tc>
        <w:tc>
          <w:tcPr/>
          <w:p>
            <w:pPr>
              <w:pStyle w:val="Compact"/>
            </w:pPr>
            <w:r>
              <w:t xml:space="preserve">30% of office's share of pool growth + fees earned</w:t>
            </w:r>
          </w:p>
        </w:tc>
        <w:tc>
          <w:tcPr/>
          <w:p>
            <w:pPr>
              <w:pStyle w:val="Compact"/>
            </w:pPr>
            <w:r>
              <w:t xml:space="preserve">Quarterly</w:t>
            </w:r>
          </w:p>
        </w:tc>
        <w:tc>
          <w:tcPr/>
          <w:p>
            <w:pPr>
              <w:pStyle w:val="Compact"/>
            </w:pPr>
            <w:r>
              <w:t xml:space="preserve">Long-term enterprise value</w:t>
            </w:r>
          </w:p>
        </w:tc>
      </w:tr>
    </w:tbl>
    <w:p>
      <w:pPr>
        <w:pStyle w:val="BodyText"/>
      </w:pPr>
      <w:r>
        <w:t xml:space="preserve">Both profit share distributions (3a and 3b) are paid simultaneously each quarter. At each level, the participant independently chooses: take cash, mint Class B shares, or any combination. This means every quarter, a participant has four separate allocation decisions to make — two profit share payouts and two cash-or-mint choices. The flexibility is total.</w:t>
      </w:r>
    </w:p>
    <w:p>
      <w:pPr>
        <w:pStyle w:val="BodyText"/>
      </w:pPr>
      <w:r>
        <w:rPr>
          <w:i/>
          <w:iCs/>
        </w:rPr>
        <w:t xml:space="preserve">In multi-unit subsidiaries, Layer 3a may be split into a 10% unit-level profit share and a 10% subsidiary-level profit share when the team votes to adopt the split structure. This adds a fourth scope of alignment — your unit's direct performance — without changing the total percentage. See The Unit Framework, Unit-Level Profit Sharing for details.</w:t>
      </w:r>
    </w:p>
    <w:p>
      <w:pPr>
        <w:pStyle w:val="BodyText"/>
      </w:pPr>
      <w:r>
        <w:rPr>
          <w:i/>
          <w:iCs/>
        </w:rPr>
        <w:t xml:space="preserve">For the mechanics of minting Class B shares with profit share, see Section 3 of the Equity Framework.</w:t>
      </w:r>
    </w:p>
    <w:bookmarkEnd w:id="17"/>
    <w:bookmarkStart w:id="18" w:name="section-5-structural-redundancy"/>
    <w:p>
      <w:pPr>
        <w:pStyle w:val="Heading1"/>
      </w:pPr>
      <w:r>
        <w:t xml:space="preserve">Section 5: Structural Redundancy</w:t>
      </w:r>
    </w:p>
    <w:p>
      <w:pPr>
        <w:pStyle w:val="FirstParagraph"/>
      </w:pPr>
      <w:r>
        <w:t xml:space="preserve">Each layer of this system was designed to solve a specific problem: Layer 2 for immediate productivity alignment, the subsidiary profit share for local ownership, the office profit share for portfolio-wide thinking, dividends for long-term compounding, and the network marketing pathway for entrepreneurial education and safety net building. None of these layers were designed as backup systems for the others. And yet, because each one was built to solve its own problem honestly, they naturally create redundancy.</w:t>
      </w:r>
    </w:p>
    <w:p>
      <w:pPr>
        <w:pStyle w:val="BodyText"/>
      </w:pPr>
      <w:r>
        <w:t xml:space="preserve">Consider the scenario where the office is in an aggressive growth period — deploying capital into new subsidiaries that have not yet become profitable. The total pool's growth may be flat or negative for several quarters while those investments mature. The office-level profit share (Layer 3b) pays nothing. The dividend pool thins. But the subsidiaries that are already operating are unaffected. Their Layer 2 pay still flows from gross margin every week. Their subsidiary-level profit share (Layer 3a) still calculates off their own net profit. Participants can still mint shares with their subsidiary profit share, and because book value may be temporarily suppressed by the capital deployment, they are effectively minting at a discount. When the new investments mature and the pool's growth resumes, those shares appreciate.</w:t>
      </w:r>
    </w:p>
    <w:p>
      <w:pPr>
        <w:pStyle w:val="BodyText"/>
      </w:pPr>
      <w:r>
        <w:t xml:space="preserve">The system does not require every layer to be performing well simultaneously. It requires at least one layer to be functioning, and the architecture makes it structurally difficult for all layers to fail at the same time. Labor costs flex with revenue through the COF rate, eliminating the largest fixed cost risk. The safety net bucket (Bucket One) is built specifically for the scenario where active income falters. The network marketing income stream operates entirely outside the Faleth Capital pool. For everything to fail simultaneously, every subsidiary would need to have no customers, the office would need to have made catastrophic investments, the network marketing business would need to have collapsed, and the safety net would need to be empty. That is not a realistic scenario. It is the kind of alignment that would take down any business model.</w:t>
      </w:r>
    </w:p>
    <w:p>
      <w:pPr>
        <w:pStyle w:val="BodyText"/>
      </w:pPr>
      <w:r>
        <w:rPr>
          <w:i/>
          <w:iCs/>
        </w:rPr>
        <w:t xml:space="preserve">This redundancy was not engineered. It emerged. That is usually a sign the architecture is sound — the safety was not bolted on after the fact. It grew naturally from solving each problem on its own terms.</w:t>
      </w:r>
    </w:p>
    <w:bookmarkEnd w:id="18"/>
    <w:bookmarkStart w:id="19" w:name="section-6-the-liquidity-reserve-policy"/>
    <w:p>
      <w:pPr>
        <w:pStyle w:val="Heading1"/>
      </w:pPr>
      <w:r>
        <w:t xml:space="preserve">Section 6: The Liquidity Reserve Policy</w:t>
      </w:r>
    </w:p>
    <w:p>
      <w:pPr>
        <w:pStyle w:val="FirstParagraph"/>
      </w:pPr>
      <w:r>
        <w:t xml:space="preserve">Consistent with the Talmudic one-third principle that undergirds Faleth Capital's philosophy (see Section 1.3 of the Constitution), the family office maintains a liquidity reserve policy:</w:t>
      </w:r>
    </w:p>
    <w:p>
      <w:pPr>
        <w:pStyle w:val="BodyText"/>
      </w:pPr>
      <w:r>
        <w:rPr>
          <w:b/>
          <w:bCs/>
          <w:i/>
          <w:iCs/>
        </w:rPr>
        <w:t xml:space="preserve">At all times, approximately half of the total pool should be held in liquid capital, with the other half deployed into the combined balance sheets of the portfolio's operating subsidiaries.</w:t>
      </w:r>
    </w:p>
    <w:p>
      <w:pPr>
        <w:pStyle w:val="BodyText"/>
      </w:pPr>
      <w:r>
        <w:t xml:space="preserve">This policy applies to the full pool — office equity and investor capital together. It ensures that capital is always available to fund a new subsidiary when a participant is ready to build, to weather downturns without forced liquidations, and to seize opportunities without external financing. The 50% retention allocation is the primary engine that builds the liquid side of the office's own holdings over time.</w:t>
      </w:r>
    </w:p>
    <w:p>
      <w:pPr>
        <w:pStyle w:val="BodyText"/>
      </w:pPr>
      <w:r>
        <w:t xml:space="preserve">When the ratio drifts — after a major capital deployment, an investor withdrawal, or a period of heavy growth — it is not a crisis. It is a signal. The office reads the balance and adjusts its posture accordingly: slow spend to rebuild liquidity, or accelerate deployment when reserves are running ahead of the target. The goal is not a perfectly maintained ratio at every moment, but a consistent discipline that prevents the pool from ever being fully committed on either side.</w:t>
      </w:r>
    </w:p>
    <w:p>
      <w:pPr>
        <w:pStyle w:val="BodyText"/>
      </w:pPr>
      <w:r>
        <w:rPr>
          <w:i/>
          <w:iCs/>
        </w:rPr>
        <w:t xml:space="preserve">This framework is a living document. Its parameters — the parent company fee percentages, the 20/30/50 allocation split, the liquidity reserve target — may be adjusted by Class A members through the amendment process described in Article IX of the Constitution. The principles of transparency, simultaneity, and structural simplicity are permanent.</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Financial Framework</dc:title>
  <dc:creator/>
  <cp:keywords/>
  <dcterms:created xsi:type="dcterms:W3CDTF">2026-04-13T01:58:24Z</dcterms:created>
  <dcterms:modified xsi:type="dcterms:W3CDTF">2026-04-13T01:58:24Z</dcterms:modified>
</cp:coreProperties>
</file>

<file path=docProps/custom.xml><?xml version="1.0" encoding="utf-8"?>
<Properties xmlns="http://schemas.openxmlformats.org/officeDocument/2006/custom-properties" xmlns:vt="http://schemas.openxmlformats.org/officeDocument/2006/docPropsVTypes"/>
</file>