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Equity Framework</w:t>
      </w:r>
    </w:p>
    <w:p>
      <w:pPr>
        <w:pStyle w:val="FirstParagraph"/>
      </w:pPr>
      <w:r>
        <w:rPr>
          <w:b/>
          <w:bCs/>
        </w:rPr>
        <w:t xml:space="preserve">THE EQUITY</w:t>
      </w:r>
    </w:p>
    <w:p>
      <w:pPr>
        <w:pStyle w:val="BodyText"/>
      </w:pPr>
      <w:r>
        <w:rPr>
          <w:b/>
          <w:bCs/>
        </w:rPr>
        <w:t xml:space="preserve">FRAMEWORK</w:t>
      </w:r>
    </w:p>
    <w:p>
      <w:pPr>
        <w:pStyle w:val="BodyText"/>
      </w:pPr>
      <w:r>
        <w:rPr>
          <w:i/>
          <w:iCs/>
        </w:rPr>
        <w:t xml:space="preserve">A Mint-and-Burn Share System</w:t>
      </w:r>
    </w:p>
    <w:p>
      <w:pPr>
        <w:pStyle w:val="BodyText"/>
      </w:pPr>
      <w:r>
        <w:rPr>
          <w:i/>
          <w:iCs/>
        </w:rPr>
        <w:t xml:space="preserve">Built on Earned Contribution,</w:t>
      </w:r>
    </w:p>
    <w:p>
      <w:pPr>
        <w:pStyle w:val="BodyText"/>
      </w:pPr>
      <w:r>
        <w:rPr>
          <w:i/>
          <w:iCs/>
        </w:rPr>
        <w:t xml:space="preserve">Not Outside Capital</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details the equity mechanics summarized in Article IV of the Faleth Capital Constitution. For how profit share is generated and distributed, see Faleth Capital/The Financial Framework. For the contribution-based compensation that generates the profit share used to mint shares, see The Contribution Framework.</w:t>
      </w:r>
    </w:p>
    <w:bookmarkStart w:id="9" w:name="section-1-the-mint-and-burn-model"/>
    <w:p>
      <w:pPr>
        <w:pStyle w:val="Heading1"/>
      </w:pPr>
      <w:r>
        <w:t xml:space="preserve">Section 1: The Mint-and-Burn Model</w:t>
      </w:r>
    </w:p>
    <w:p>
      <w:pPr>
        <w:pStyle w:val="FirstParagraph"/>
      </w:pPr>
      <w:r>
        <w:t xml:space="preserve">Faleth Capital uses a mint-and-burn equity model. Shares are created when participants invest and destroyed when they cash out. There is no fixed pool to exhaust, no buyback negotiation, and no outside capital can purchase shares. Every share in existence represents earned contribution that someone chose to reinvest.</w:t>
      </w:r>
    </w:p>
    <w:bookmarkEnd w:id="9"/>
    <w:bookmarkStart w:id="10" w:name="section-2-share-classes"/>
    <w:p>
      <w:pPr>
        <w:pStyle w:val="Heading1"/>
      </w:pPr>
      <w:r>
        <w:t xml:space="preserve">Section 2: Share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Class</w:t>
            </w:r>
          </w:p>
        </w:tc>
        <w:tc>
          <w:tcPr/>
          <w:p>
            <w:pPr>
              <w:pStyle w:val="Compact"/>
            </w:pPr>
            <w:r>
              <w:rPr>
                <w:b/>
                <w:bCs/>
              </w:rPr>
              <w:t xml:space="preserve">Holder</w:t>
            </w:r>
          </w:p>
        </w:tc>
        <w:tc>
          <w:tcPr/>
          <w:p>
            <w:pPr>
              <w:pStyle w:val="Compact"/>
            </w:pPr>
            <w:r>
              <w:rPr>
                <w:b/>
                <w:bCs/>
              </w:rPr>
              <w:t xml:space="preserve">Rights</w:t>
            </w:r>
          </w:p>
        </w:tc>
        <w:tc>
          <w:tcPr/>
          <w:p>
            <w:pPr>
              <w:pStyle w:val="Compact"/>
            </w:pPr>
            <w:r>
              <w:rPr>
                <w:b/>
                <w:bCs/>
              </w:rPr>
              <w:t xml:space="preserve">Transferability</w:t>
            </w:r>
          </w:p>
        </w:tc>
      </w:tr>
      <w:tr>
        <w:tc>
          <w:tcPr/>
          <w:p>
            <w:pPr>
              <w:pStyle w:val="Compact"/>
            </w:pPr>
            <w:r>
              <w:t xml:space="preserve">Class A</w:t>
            </w:r>
          </w:p>
        </w:tc>
        <w:tc>
          <w:tcPr/>
          <w:p>
            <w:pPr>
              <w:pStyle w:val="Compact"/>
            </w:pPr>
            <w:r>
              <w:t xml:space="preserve">Office Members</w:t>
            </w:r>
          </w:p>
        </w:tc>
        <w:tc>
          <w:tcPr/>
          <w:p>
            <w:pPr>
              <w:pStyle w:val="Compact"/>
            </w:pPr>
            <w:r>
              <w:t xml:space="preserve">100% ownership of the firm; voting rights on office-level governance; non-dividend; represents membership and stewardship</w:t>
            </w:r>
          </w:p>
        </w:tc>
        <w:tc>
          <w:tcPr/>
          <w:p>
            <w:pPr>
              <w:pStyle w:val="Compact"/>
            </w:pPr>
            <w:r>
              <w:t xml:space="preserve">Can be sold upon departure; not diluted by Class B minting</w:t>
            </w:r>
          </w:p>
        </w:tc>
      </w:tr>
      <w:tr>
        <w:tc>
          <w:tcPr/>
          <w:p>
            <w:pPr>
              <w:pStyle w:val="Compact"/>
            </w:pPr>
            <w:r>
              <w:t xml:space="preserve">Class B</w:t>
            </w:r>
          </w:p>
        </w:tc>
        <w:tc>
          <w:tcPr/>
          <w:p>
            <w:pPr>
              <w:pStyle w:val="Compact"/>
            </w:pPr>
            <w:r>
              <w:t xml:space="preserve">All participants</w:t>
            </w:r>
          </w:p>
        </w:tc>
        <w:tc>
          <w:tcPr/>
          <w:p>
            <w:pPr>
              <w:pStyle w:val="Compact"/>
            </w:pPr>
            <w:r>
              <w:t xml:space="preserve">Non-voting; dividend-participating from the 30% office dividend pool; minted via profit share, burned on cash-out</w:t>
            </w:r>
          </w:p>
        </w:tc>
        <w:tc>
          <w:tcPr/>
          <w:p>
            <w:pPr>
              <w:pStyle w:val="Compact"/>
            </w:pPr>
            <w:r>
              <w:t xml:space="preserve">Not transferable; can only be cashed out (burned) at book value</w:t>
            </w:r>
          </w:p>
        </w:tc>
      </w:tr>
      <w:tr>
        <w:tc>
          <w:tcPr/>
          <w:p>
            <w:pPr>
              <w:pStyle w:val="Compact"/>
            </w:pPr>
            <w:r>
              <w:t xml:space="preserve">Class C</w:t>
            </w:r>
          </w:p>
        </w:tc>
        <w:tc>
          <w:tcPr/>
          <w:p>
            <w:pPr>
              <w:pStyle w:val="Compact"/>
            </w:pPr>
            <w:r>
              <w:t xml:space="preserve">External investors</w:t>
            </w:r>
          </w:p>
        </w:tc>
        <w:tc>
          <w:tcPr/>
          <w:p>
            <w:pPr>
              <w:pStyle w:val="Compact"/>
            </w:pPr>
            <w:r>
              <w:t xml:space="preserve">Non-voting; receives returns from the managed fund (separate from office dividend pool); capital managed under PE terms (2 and 20)</w:t>
            </w:r>
          </w:p>
        </w:tc>
        <w:tc>
          <w:tcPr/>
          <w:p>
            <w:pPr>
              <w:pStyle w:val="Compact"/>
            </w:pPr>
            <w:r>
              <w:t xml:space="preserve">Subject to fund terms; not transferable without office approval</w:t>
            </w:r>
          </w:p>
        </w:tc>
      </w:tr>
    </w:tbl>
    <w:p>
      <w:pPr>
        <w:pStyle w:val="BodyText"/>
      </w:pPr>
      <w:r>
        <w:rPr>
          <w:i/>
          <w:iCs/>
        </w:rPr>
        <w:t xml:space="preserve">For how Class A membership is earned, see The Membership Framework. For governance rights and voting procedures, see The Governance Framework.</w:t>
      </w:r>
    </w:p>
    <w:bookmarkEnd w:id="10"/>
    <w:bookmarkStart w:id="11" w:name="Xc7372c89848e631a5cf2eb7a6ca181dec1f212c"/>
    <w:p>
      <w:pPr>
        <w:pStyle w:val="Heading1"/>
      </w:pPr>
      <w:r>
        <w:t xml:space="preserve">Section 3: Minting (Acquiring Class B Shares)</w:t>
      </w:r>
    </w:p>
    <w:p>
      <w:pPr>
        <w:pStyle w:val="FirstParagraph"/>
      </w:pPr>
      <w:r>
        <w:t xml:space="preserve">The only way to acquire Class B shares is by investing earned profit share (from either the subsidiary or office level) or reinvesting earned dividends. When a participant invests, new shares are minted at the current book value per share:</w:t>
      </w:r>
    </w:p>
    <w:p>
      <w:pPr>
        <w:pStyle w:val="BodyText"/>
      </w:pPr>
      <w:r>
        <w:rPr>
          <w:b/>
          <w:bCs/>
          <w:i/>
          <w:iCs/>
        </w:rPr>
        <w:t xml:space="preserve">Book Value Per Share = (Total Assets − Total Liabilities) ÷ Total Shares Outstanding</w:t>
      </w:r>
    </w:p>
    <w:p>
      <w:pPr>
        <w:pStyle w:val="BodyText"/>
      </w:pPr>
      <w:r>
        <w:t xml:space="preserve">This valuation is intentionally simple. Assets minus liabilities is a number on the balance sheet. The share count is a number everyone can see. The math is division. There are no subjective multiples, no trailing averages, no discretionary inputs.</w:t>
      </w:r>
    </w:p>
    <w:bookmarkEnd w:id="11"/>
    <w:bookmarkStart w:id="12" w:name="section-4-burning-cashing-out"/>
    <w:p>
      <w:pPr>
        <w:pStyle w:val="Heading1"/>
      </w:pPr>
      <w:r>
        <w:t xml:space="preserve">Section 4: Burning (Cashing Out)</w:t>
      </w:r>
    </w:p>
    <w:p>
      <w:pPr>
        <w:pStyle w:val="FirstParagraph"/>
      </w:pPr>
      <w:r>
        <w:t xml:space="preserve">Any Class B shareholder may cash out some or all of their shares at any time at the current book value per share. Cashed-out shares are permanently destroyed. This provides genuine liquidity — nobody is trapped holding illiquid paper — while preventing speculation, since burned shares cannot be repurchased except through future earned profit share.</w:t>
      </w:r>
    </w:p>
    <w:bookmarkEnd w:id="12"/>
    <w:bookmarkStart w:id="13" w:name="section-5-holding-after-departure"/>
    <w:p>
      <w:pPr>
        <w:pStyle w:val="Heading1"/>
      </w:pPr>
      <w:r>
        <w:t xml:space="preserve">Section 5: Holding After Departure</w:t>
      </w:r>
    </w:p>
    <w:p>
      <w:pPr>
        <w:pStyle w:val="FirstParagraph"/>
      </w:pPr>
      <w:r>
        <w:t xml:space="preserve">Participants who leave a subsidiary are not required to cash out. They may keep their Class B shares indefinitely and continue receiving dividends. However, with no new profit share coming in, they cannot mint new shares (unless they reinvest dividends), and natural dilution from new shares minted by active contributors will gradually reduce their percentage of the total pool over time.</w:t>
      </w:r>
    </w:p>
    <w:p>
      <w:pPr>
        <w:pStyle w:val="BodyText"/>
      </w:pPr>
      <w:r>
        <w:t xml:space="preserve">If a departed holder later returns to any subsidiary in the portfolio, they retain their existing shares and begin earning profit share again, resuming their ability to mint.</w:t>
      </w:r>
    </w:p>
    <w:bookmarkEnd w:id="13"/>
    <w:bookmarkStart w:id="14" w:name="section-6-the-dilution-factor"/>
    <w:p>
      <w:pPr>
        <w:pStyle w:val="Heading1"/>
      </w:pPr>
      <w:r>
        <w:t xml:space="preserve">Section 6: The Dilution Factor</w:t>
      </w:r>
    </w:p>
    <w:p>
      <w:pPr>
        <w:pStyle w:val="FirstParagraph"/>
      </w:pPr>
      <w:r>
        <w:t xml:space="preserve">Each quarter, the dilution factor is calculated and reported in the earnings call (see Section 4 of the Governance Framework). It measures whether the growth of the dividend pool outpaced the growth of shares outstanding.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Factor</w:t>
            </w:r>
          </w:p>
        </w:tc>
        <w:tc>
          <w:tcPr/>
          <w:p>
            <w:pPr>
              <w:pStyle w:val="Compact"/>
            </w:pPr>
            <w:r>
              <w:rPr>
                <w:b/>
                <w:bCs/>
              </w:rPr>
              <w:t xml:space="preserve">Meaning</w:t>
            </w:r>
          </w:p>
        </w:tc>
        <w:tc>
          <w:tcPr/>
          <w:p>
            <w:pPr>
              <w:pStyle w:val="Compact"/>
            </w:pPr>
            <w:r>
              <w:rPr>
                <w:b/>
                <w:bCs/>
              </w:rPr>
              <w:t xml:space="preserve">Implication</w:t>
            </w:r>
          </w:p>
        </w:tc>
      </w:tr>
      <w:tr>
        <w:tc>
          <w:tcPr/>
          <w:p>
            <w:pPr>
              <w:pStyle w:val="Compact"/>
            </w:pPr>
            <w:r>
              <w:t xml:space="preserve">Positive</w:t>
            </w:r>
          </w:p>
        </w:tc>
        <w:tc>
          <w:tcPr/>
          <w:p>
            <w:pPr>
              <w:pStyle w:val="Compact"/>
            </w:pPr>
            <w:r>
              <w:t xml:space="preserve">Dividend pool grew faster than share count</w:t>
            </w:r>
          </w:p>
        </w:tc>
        <w:tc>
          <w:tcPr/>
          <w:p>
            <w:pPr>
              <w:pStyle w:val="Compact"/>
            </w:pPr>
            <w:r>
              <w:t xml:space="preserve">Each share pays more than last quarter; healthy growth</w:t>
            </w:r>
          </w:p>
        </w:tc>
      </w:tr>
      <w:tr>
        <w:tc>
          <w:tcPr/>
          <w:p>
            <w:pPr>
              <w:pStyle w:val="Compact"/>
            </w:pPr>
            <w:r>
              <w:t xml:space="preserve">Negative</w:t>
            </w:r>
          </w:p>
        </w:tc>
        <w:tc>
          <w:tcPr/>
          <w:p>
            <w:pPr>
              <w:pStyle w:val="Compact"/>
            </w:pPr>
            <w:r>
              <w:t xml:space="preserve">Share count grew faster than dividend pool</w:t>
            </w:r>
          </w:p>
        </w:tc>
        <w:tc>
          <w:tcPr/>
          <w:p>
            <w:pPr>
              <w:pStyle w:val="Compact"/>
            </w:pPr>
            <w:r>
              <w:t xml:space="preserve">Each share pays less; business needs to grow or minting outpaced profit</w:t>
            </w:r>
          </w:p>
        </w:tc>
      </w:tr>
      <w:tr>
        <w:tc>
          <w:tcPr/>
          <w:p>
            <w:pPr>
              <w:pStyle w:val="Compact"/>
            </w:pPr>
            <w:r>
              <w:t xml:space="preserve">Neutral</w:t>
            </w:r>
          </w:p>
        </w:tc>
        <w:tc>
          <w:tcPr/>
          <w:p>
            <w:pPr>
              <w:pStyle w:val="Compact"/>
            </w:pPr>
            <w:r>
              <w:t xml:space="preserve">Both grew at the same rate</w:t>
            </w:r>
          </w:p>
        </w:tc>
        <w:tc>
          <w:tcPr/>
          <w:p>
            <w:pPr>
              <w:pStyle w:val="Compact"/>
            </w:pPr>
            <w:r>
              <w:t xml:space="preserve">Per-share dividend is flat</w:t>
            </w:r>
          </w:p>
        </w:tc>
      </w:tr>
    </w:tbl>
    <w:p>
      <w:pPr>
        <w:pStyle w:val="BodyText"/>
      </w:pPr>
      <w:r>
        <w:t xml:space="preserve">The dilution factor is information, not judgment. A negative factor during a quarter of heavy investment may be perfectly strategic. A sustained negative trend warrants attention. The point is transparency: everyone sees the number and understands what it means.</w:t>
      </w:r>
    </w:p>
    <w:bookmarkEnd w:id="14"/>
    <w:bookmarkStart w:id="21" w:name="section-7-class-c-managed-capital"/>
    <w:p>
      <w:pPr>
        <w:pStyle w:val="Heading1"/>
      </w:pPr>
      <w:r>
        <w:t xml:space="preserve">Section 7: Class C — Managed Capital</w:t>
      </w:r>
    </w:p>
    <w:p>
      <w:pPr>
        <w:pStyle w:val="FirstParagraph"/>
      </w:pPr>
      <w:r>
        <w:t xml:space="preserve">Faleth Capital's mission is to create and manage generational wealth. Class B shares serve that mission for people inside the contribution pipeline. Class C shares extend it to people outside the pipeline who want access to the portfolio without building a business themselves.</w:t>
      </w:r>
    </w:p>
    <w:bookmarkStart w:id="15" w:name="structure"/>
    <w:p>
      <w:pPr>
        <w:pStyle w:val="Heading2"/>
      </w:pPr>
      <w:r>
        <w:t xml:space="preserve">7.1 — Structure</w:t>
      </w:r>
    </w:p>
    <w:p>
      <w:pPr>
        <w:pStyle w:val="FirstParagraph"/>
      </w:pPr>
      <w:r>
        <w:t xml:space="preserve">Class C operates as a pooled investment fund managed by the office, entirely separate from the office's own profit and dividend structures:</w:t>
      </w:r>
    </w:p>
    <w:p>
      <w:pPr>
        <w:pStyle w:val="Compact"/>
        <w:numPr>
          <w:ilvl w:val="0"/>
          <w:numId w:val="1001"/>
        </w:numPr>
      </w:pPr>
      <w:r>
        <w:t xml:space="preserve">External investors contribute capital to a pooled fund. The office has full discretion over how that capital is deployed across subsidiaries, new ventures, and other investments.</w:t>
      </w:r>
    </w:p>
    <w:p>
      <w:pPr>
        <w:pStyle w:val="Compact"/>
        <w:numPr>
          <w:ilvl w:val="0"/>
          <w:numId w:val="1001"/>
        </w:numPr>
      </w:pPr>
      <w:r>
        <w:t xml:space="preserve">Consistent with the office's liquidity philosophy, not all investor capital is deployed into businesses. The managed fund maintains the same half-and-half discipline as the office itself: approximately half of the fund's value is deployed into operating businesses, and the other half is held in liquid capital. This structurally safeguards investor funds by ensuring the fund is never fully committed and always has reserves to weather downturns or capitalize on opportunities.</w:t>
      </w:r>
    </w:p>
    <w:p>
      <w:pPr>
        <w:pStyle w:val="Compact"/>
        <w:numPr>
          <w:ilvl w:val="0"/>
          <w:numId w:val="1001"/>
        </w:numPr>
      </w:pPr>
      <w:r>
        <w:t xml:space="preserve">The office charges a 2% annual management fee on assets under management (AUM) and a 20% performance fee on quarterly balance sheet growth of the managed fund.</w:t>
      </w:r>
    </w:p>
    <w:p>
      <w:pPr>
        <w:pStyle w:val="Compact"/>
        <w:numPr>
          <w:ilvl w:val="0"/>
          <w:numId w:val="1001"/>
        </w:numPr>
      </w:pPr>
      <w:r>
        <w:t xml:space="preserve">Class C investors receive their returns from the managed fund itself — the investment gains on their contributed capital, net of fees. They do not participate in the office's 30% dividend pool. That pool belongs exclusively to Class B shareholders who invested their earned profit share into the office.</w:t>
      </w:r>
    </w:p>
    <w:p>
      <w:pPr>
        <w:pStyle w:val="Compact"/>
        <w:numPr>
          <w:ilvl w:val="0"/>
          <w:numId w:val="1001"/>
        </w:numPr>
      </w:pPr>
      <w:r>
        <w:t xml:space="preserve">Class C shares are non-voting. Governance remains exclusively with Class A members (see The Governance Framework).</w:t>
      </w:r>
    </w:p>
    <w:p>
      <w:pPr>
        <w:pStyle w:val="FirstParagraph"/>
      </w:pPr>
      <w:r>
        <w:rPr>
          <w:b/>
          <w:bCs/>
        </w:rPr>
        <w:t xml:space="preserve">The principle is straightforward:</w:t>
      </w:r>
      <w:r>
        <w:t xml:space="preserve"> </w:t>
      </w:r>
      <w:r>
        <w:t xml:space="preserve">if you did not invest into the office, you do not get a cut of the office's profits. Class C investors trusted the office to manage their capital, and they receive returns on that capital. Class B shareholders invested into the office itself, and they receive dividends from the office's own income. These are two separate pools serving two separate groups.</w:t>
      </w:r>
    </w:p>
    <w:bookmarkEnd w:id="15"/>
    <w:bookmarkStart w:id="16" w:name="Xd533da39c173bb7bfe68b16f9e9fc73ac62cbc7"/>
    <w:p>
      <w:pPr>
        <w:pStyle w:val="Heading2"/>
      </w:pPr>
      <w:r>
        <w:t xml:space="preserve">7.2 — How Class C Interacts With the Existing System</w:t>
      </w:r>
    </w:p>
    <w:p>
      <w:pPr>
        <w:pStyle w:val="FirstParagraph"/>
      </w:pPr>
      <w:r>
        <w:t xml:space="preserve">Class C investor capital is recorded as both an asset (the cash or investments) and a corresponding liability (the obligation to the investor). It nets to zero on the office's own balance sheet and does not inflate Class B book value per share. When calculating book value per share for Class B shareholders, the formula remains: total assets minus total liabilities, divided by total shares. Class C capital cancels itself out.</w:t>
      </w:r>
    </w:p>
    <w:p>
      <w:pPr>
        <w:pStyle w:val="BodyText"/>
      </w:pPr>
      <w:r>
        <w:t xml:space="preserve">The managed fund's growth does appear in total portfolio balance sheet growth, which the 20% employee profit share is calculated on (see Section 3 of the Financial Framework). This is appropriate: that growth happened because the subsidiaries the fund invested in performed well, and they performed well because of the team's work. The employees are being rewarded for the value they created, not for the presence of outside capital.</w:t>
      </w:r>
    </w:p>
    <w:p>
      <w:pPr>
        <w:pStyle w:val="BodyText"/>
      </w:pPr>
      <w:r>
        <w:t xml:space="preserve">The 2% management fee and 20% performance fee the office earns from managing Class C funds are genuine office income. These fees flow into the office's own equity (not the liability side), which means they do contribute to office holdings growth, and therefore to the 30% Class B dividend pool and the 50% liquidity retention. The relationship is symbiotic without being commingled: Class C capital does not inflate Class B share prices, but the fees earned from managing it do grow the office's own holdings over time.</w:t>
      </w:r>
    </w:p>
    <w:bookmarkEnd w:id="16"/>
    <w:bookmarkStart w:id="17" w:name="the-investor-proposition"/>
    <w:p>
      <w:pPr>
        <w:pStyle w:val="Heading2"/>
      </w:pPr>
      <w:r>
        <w:t xml:space="preserve">7.3 — The Investor Proposition</w:t>
      </w:r>
    </w:p>
    <w:p>
      <w:pPr>
        <w:pStyle w:val="FirstParagraph"/>
      </w:pPr>
      <w:r>
        <w:t xml:space="preserve">From the investor's perspective, Class C offers something unusual: exposure to a portfolio of operating businesses where every employee is compensated based on contribution rather than fixed salary. The incentive alignment runs from the shop floor to the family office. Every dollar of operating profit was generated by people whose income is directly tied to the value they create. This should, over time, produce superior operational performance compared to traditionally-managed companies.</w:t>
      </w:r>
    </w:p>
    <w:p>
      <w:pPr>
        <w:pStyle w:val="BodyText"/>
      </w:pPr>
      <w:r>
        <w:t xml:space="preserve">There is also a structural profitability safeguard built into every subsidiary. Because the largest expense — labor — is paid as a percentage of gross margin through the COF rate, it scales proportionally with revenue. A traditional company with fixed payroll bleeds cash whether it has customers or not. Faleth Capital subsidiaries cannot have that problem. If revenue drops, labor costs drop automatically. The floor is the only fixed labor cost, and it is designed to be modest. This means the managed fund's holdings are operating businesses with structurally limited downside risk.</w:t>
      </w:r>
    </w:p>
    <w:p>
      <w:pPr>
        <w:pStyle w:val="BodyText"/>
      </w:pPr>
      <w:r>
        <w:t xml:space="preserve">Additionally, investor capital is never fully deployed. The managed fund maintains the same half-and-half liquidity discipline as the office itself, meaning roughly half of investor capital is held in reserve at all times. This is not timidity — it is the same Talmudic principle applied consistently: always maintain liquid capital alongside business investments. Investors are never in a position where 100% of their money is at risk in operating businesses.</w:t>
      </w:r>
    </w:p>
    <w:p>
      <w:pPr>
        <w:pStyle w:val="BodyText"/>
      </w:pPr>
      <w:r>
        <w:t xml:space="preserve">Investors are not buying into a fund managed by strangers. They are buying into an ecosystem where the operators have skin in the game at every level — weekly through contribution points, quarterly through profit sharing, and permanently through Class B equity they earned with their own hands. And the office only collects its 20% performance fee on actual quarterly balance sheet growth of the managed fund. If the portfolio does not grow in a given quarter, the office earns nothing beyond the 2% management fee. The incentives are fully aligned: the office only profits when the investors profit.</w:t>
      </w:r>
    </w:p>
    <w:bookmarkEnd w:id="17"/>
    <w:bookmarkStart w:id="18" w:name="worked-example-a-quarter-at-maturity"/>
    <w:p>
      <w:pPr>
        <w:pStyle w:val="Heading2"/>
      </w:pPr>
      <w:r>
        <w:t xml:space="preserve">7.4 — Worked Example: A Quarter at Maturity</w:t>
      </w:r>
    </w:p>
    <w:p>
      <w:pPr>
        <w:pStyle w:val="FirstParagraph"/>
      </w:pPr>
      <w:r>
        <w:rPr>
          <w:i/>
          <w:iCs/>
        </w:rPr>
        <w:t xml:space="preserve">The following is a hypothetical but realistic example of how the math works across all parties in a single quarter. All numbers are illustrative.</w:t>
      </w:r>
    </w:p>
    <w:p>
      <w:pPr>
        <w:pStyle w:val="BodyText"/>
      </w:pPr>
      <w:r>
        <w:rPr>
          <w:b/>
          <w:bCs/>
        </w:rPr>
        <w:t xml:space="preserve">Setup</w:t>
      </w:r>
    </w:p>
    <w:p>
      <w:pPr>
        <w:pStyle w:val="BodyText"/>
      </w:pPr>
      <w:r>
        <w:t xml:space="preserve">Faleth Capital has three operating subsidiaries (electronics repair, pool cleaning, light manufacturing), a managed fund with $2,000,000 in Class C investor capital (half deployed, half liquid), and 10,000 Class B shares outstanding. The office's own holdings are valued at $3,000,000. Total portfolio: $5,000,000. Book value per share: $300.</w:t>
      </w:r>
    </w:p>
    <w:p>
      <w:pPr>
        <w:pStyle w:val="BodyText"/>
      </w:pPr>
      <w:r>
        <w:rPr>
          <w:b/>
          <w:bCs/>
        </w:rPr>
        <w:t xml:space="preserve">During the Quarter</w:t>
      </w:r>
    </w:p>
    <w:p>
      <w:pPr>
        <w:pStyle w:val="BodyText"/>
      </w:pPr>
      <w:r>
        <w:t xml:space="preserve">The three subsidiaries collectively generate $600,000 in revenue and $120,000 in combined net profit before the parent company fee. The fee is the higher of 5% of revenue ($30,000) or one-third of net profit ($40,000), so the office collects $40,000.</w:t>
      </w:r>
    </w:p>
    <w:p>
      <w:pPr>
        <w:pStyle w:val="BodyText"/>
      </w:pPr>
      <w:r>
        <w:t xml:space="preserve">The managed fund pays its quarterly management fee first: 0.5% of $2,000,000 = $10,000, deducted from the fund as an operating expense. That $10,000 goes to the office as income. After the fee, the fund's investments and liquid reserves generate $70,000 in growth, bringing the fund to $2,060,000.</w:t>
      </w:r>
    </w:p>
    <w:p>
      <w:pPr>
        <w:pStyle w:val="BodyText"/>
      </w:pPr>
      <w:r>
        <w:rPr>
          <w:b/>
          <w:bCs/>
        </w:rPr>
        <w:t xml:space="preserve">End of Quarter Balance Sheet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b/>
                <w:bCs/>
              </w:rPr>
              <w:t xml:space="preserve">Start</w:t>
            </w:r>
          </w:p>
        </w:tc>
        <w:tc>
          <w:tcPr/>
          <w:p>
            <w:pPr>
              <w:pStyle w:val="Compact"/>
            </w:pPr>
            <w:r>
              <w:rPr>
                <w:b/>
                <w:bCs/>
              </w:rPr>
              <w:t xml:space="preserve">End</w:t>
            </w:r>
          </w:p>
        </w:tc>
        <w:tc>
          <w:tcPr/>
          <w:p>
            <w:pPr>
              <w:pStyle w:val="Compact"/>
            </w:pPr>
            <w:r>
              <w:rPr>
                <w:b/>
                <w:bCs/>
              </w:rPr>
              <w:t xml:space="preserve">Growth</w:t>
            </w:r>
          </w:p>
        </w:tc>
      </w:tr>
      <w:tr>
        <w:tc>
          <w:tcPr/>
          <w:p>
            <w:pPr>
              <w:pStyle w:val="Compact"/>
            </w:pPr>
            <w:r>
              <w:t xml:space="preserve">Office Own Holdings</w:t>
            </w:r>
          </w:p>
        </w:tc>
        <w:tc>
          <w:tcPr/>
          <w:p>
            <w:pPr>
              <w:pStyle w:val="Compact"/>
            </w:pPr>
            <w:r>
              <w:t xml:space="preserve">$3,000,000</w:t>
            </w:r>
          </w:p>
        </w:tc>
        <w:tc>
          <w:tcPr/>
          <w:p>
            <w:pPr>
              <w:pStyle w:val="Compact"/>
            </w:pPr>
            <w:r>
              <w:t xml:space="preserve">$3,050,000</w:t>
            </w:r>
          </w:p>
        </w:tc>
        <w:tc>
          <w:tcPr/>
          <w:p>
            <w:pPr>
              <w:pStyle w:val="Compact"/>
            </w:pPr>
            <w:r>
              <w:t xml:space="preserve">$50,000</w:t>
            </w:r>
          </w:p>
        </w:tc>
      </w:tr>
      <w:tr>
        <w:tc>
          <w:tcPr/>
          <w:p>
            <w:pPr>
              <w:pStyle w:val="Compact"/>
            </w:pPr>
            <w:r>
              <w:t xml:space="preserve">Managed Fund (post-mgmt fee)</w:t>
            </w:r>
          </w:p>
        </w:tc>
        <w:tc>
          <w:tcPr/>
          <w:p>
            <w:pPr>
              <w:pStyle w:val="Compact"/>
            </w:pPr>
            <w:r>
              <w:t xml:space="preserve">$2,000,000</w:t>
            </w:r>
          </w:p>
        </w:tc>
        <w:tc>
          <w:tcPr/>
          <w:p>
            <w:pPr>
              <w:pStyle w:val="Compact"/>
            </w:pPr>
            <w:r>
              <w:t xml:space="preserve">$2,060,000</w:t>
            </w:r>
          </w:p>
        </w:tc>
        <w:tc>
          <w:tcPr/>
          <w:p>
            <w:pPr>
              <w:pStyle w:val="Compact"/>
            </w:pPr>
            <w:r>
              <w:t xml:space="preserve">$60,000</w:t>
            </w:r>
          </w:p>
        </w:tc>
      </w:tr>
      <w:tr>
        <w:tc>
          <w:tcPr/>
          <w:p>
            <w:pPr>
              <w:pStyle w:val="Compact"/>
            </w:pPr>
            <w:r>
              <w:t xml:space="preserve">Total Portfolio</w:t>
            </w:r>
          </w:p>
        </w:tc>
        <w:tc>
          <w:tcPr/>
          <w:p>
            <w:pPr>
              <w:pStyle w:val="Compact"/>
            </w:pPr>
            <w:r>
              <w:t xml:space="preserve">$5,000,000</w:t>
            </w:r>
          </w:p>
        </w:tc>
        <w:tc>
          <w:tcPr/>
          <w:p>
            <w:pPr>
              <w:pStyle w:val="Compact"/>
            </w:pPr>
            <w:r>
              <w:t xml:space="preserve">$5,110,000</w:t>
            </w:r>
          </w:p>
        </w:tc>
        <w:tc>
          <w:tcPr/>
          <w:p>
            <w:pPr>
              <w:pStyle w:val="Compact"/>
            </w:pPr>
            <w:r>
              <w:t xml:space="preserve">$110,000</w:t>
            </w:r>
          </w:p>
        </w:tc>
      </w:tr>
    </w:tbl>
    <w:p>
      <w:pPr>
        <w:pStyle w:val="BodyText"/>
      </w:pPr>
      <w:r>
        <w:rPr>
          <w:b/>
          <w:bCs/>
        </w:rPr>
        <w:t xml:space="preserve">Allocations (All Simultaneous)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Amount</w:t>
            </w:r>
          </w:p>
        </w:tc>
        <w:tc>
          <w:tcPr/>
          <w:p>
            <w:pPr>
              <w:pStyle w:val="Compact"/>
            </w:pPr>
            <w:r>
              <w:rPr>
                <w:b/>
                <w:bCs/>
              </w:rPr>
              <w:t xml:space="preserve">Calculated From</w:t>
            </w:r>
          </w:p>
        </w:tc>
      </w:tr>
      <w:tr>
        <w:tc>
          <w:tcPr/>
          <w:p>
            <w:pPr>
              <w:pStyle w:val="Compact"/>
            </w:pPr>
            <w:r>
              <w:t xml:space="preserve">20% Employee Profit Share</w:t>
            </w:r>
          </w:p>
        </w:tc>
        <w:tc>
          <w:tcPr/>
          <w:p>
            <w:pPr>
              <w:pStyle w:val="Compact"/>
            </w:pPr>
            <w:r>
              <w:t xml:space="preserve">$22,000</w:t>
            </w:r>
          </w:p>
        </w:tc>
        <w:tc>
          <w:tcPr/>
          <w:p>
            <w:pPr>
              <w:pStyle w:val="Compact"/>
            </w:pPr>
            <w:r>
              <w:t xml:space="preserve">20% of total portfolio growth ($110,000)</w:t>
            </w:r>
          </w:p>
        </w:tc>
      </w:tr>
      <w:tr>
        <w:tc>
          <w:tcPr/>
          <w:p>
            <w:pPr>
              <w:pStyle w:val="Compact"/>
            </w:pPr>
            <w:r>
              <w:t xml:space="preserve">30% Class B Dividends</w:t>
            </w:r>
          </w:p>
        </w:tc>
        <w:tc>
          <w:tcPr/>
          <w:p>
            <w:pPr>
              <w:pStyle w:val="Compact"/>
            </w:pPr>
            <w:r>
              <w:t xml:space="preserve">$15,000</w:t>
            </w:r>
          </w:p>
        </w:tc>
        <w:tc>
          <w:tcPr/>
          <w:p>
            <w:pPr>
              <w:pStyle w:val="Compact"/>
            </w:pPr>
            <w:r>
              <w:t xml:space="preserve">30% of office own holdings growth ($50,000)</w:t>
            </w:r>
          </w:p>
        </w:tc>
      </w:tr>
      <w:tr>
        <w:tc>
          <w:tcPr/>
          <w:p>
            <w:pPr>
              <w:pStyle w:val="Compact"/>
            </w:pPr>
            <w:r>
              <w:t xml:space="preserve">50% Retained in Liquidity Pool</w:t>
            </w:r>
          </w:p>
        </w:tc>
        <w:tc>
          <w:tcPr/>
          <w:p>
            <w:pPr>
              <w:pStyle w:val="Compact"/>
            </w:pPr>
            <w:r>
              <w:t xml:space="preserve">$25,000</w:t>
            </w:r>
          </w:p>
        </w:tc>
        <w:tc>
          <w:tcPr/>
          <w:p>
            <w:pPr>
              <w:pStyle w:val="Compact"/>
            </w:pPr>
            <w:r>
              <w:t xml:space="preserve">50% of office own holdings growth ($50,000)</w:t>
            </w:r>
          </w:p>
        </w:tc>
      </w:tr>
      <w:tr>
        <w:tc>
          <w:tcPr/>
          <w:p>
            <w:pPr>
              <w:pStyle w:val="Compact"/>
            </w:pPr>
            <w:r>
              <w:t xml:space="preserve">20% Performance Fee (to office)</w:t>
            </w:r>
          </w:p>
        </w:tc>
        <w:tc>
          <w:tcPr/>
          <w:p>
            <w:pPr>
              <w:pStyle w:val="Compact"/>
            </w:pPr>
            <w:r>
              <w:t xml:space="preserve">$12,000</w:t>
            </w:r>
          </w:p>
        </w:tc>
        <w:tc>
          <w:tcPr/>
          <w:p>
            <w:pPr>
              <w:pStyle w:val="Compact"/>
            </w:pPr>
            <w:r>
              <w:t xml:space="preserve">20% of managed fund growth ($60,000)</w:t>
            </w:r>
          </w:p>
        </w:tc>
      </w:tr>
      <w:tr>
        <w:tc>
          <w:tcPr/>
          <w:p>
            <w:pPr>
              <w:pStyle w:val="Compact"/>
            </w:pPr>
            <w:r>
              <w:t xml:space="preserve">Net to Class C Investors</w:t>
            </w:r>
          </w:p>
        </w:tc>
        <w:tc>
          <w:tcPr/>
          <w:p>
            <w:pPr>
              <w:pStyle w:val="Compact"/>
            </w:pPr>
            <w:r>
              <w:t xml:space="preserve">~$36,000</w:t>
            </w:r>
          </w:p>
        </w:tc>
        <w:tc>
          <w:tcPr/>
          <w:p>
            <w:pPr>
              <w:pStyle w:val="Compact"/>
            </w:pPr>
            <w:r>
              <w:t xml:space="preserve">Fund growth minus profit share portion and performance fee</w:t>
            </w:r>
          </w:p>
        </w:tc>
      </w:tr>
    </w:tbl>
    <w:p>
      <w:pPr>
        <w:pStyle w:val="BodyText"/>
      </w:pPr>
      <w:r>
        <w:rPr>
          <w:b/>
          <w:bCs/>
        </w:rPr>
        <w:t xml:space="preserve">What Each Party Receives</w:t>
      </w:r>
    </w:p>
    <w:p>
      <w:pPr>
        <w:pStyle w:val="BodyText"/>
      </w:pPr>
      <w:r>
        <w:rPr>
          <w:b/>
          <w:bCs/>
        </w:rPr>
        <w:t xml:space="preserve">Employees:</w:t>
      </w:r>
      <w:r>
        <w:t xml:space="preserve"> </w:t>
      </w:r>
      <w:r>
        <w:t xml:space="preserve">Layer 2 weekly pay continued throughout the quarter (unaffected). Subsidiary-level 20% profit share from their own sub's net profit (separate calculation). Plus $22,000 in office-level profit share split across all participants by Layer 2 pay. A technician who earned $15,000 in Layer 2 pay (10% of $150,000 total) receives $2,200 as their office-level profit share, on top of their subsidiary profit share. They can take either or both in cash, or mint Class B shares with any portion.</w:t>
      </w:r>
    </w:p>
    <w:p>
      <w:pPr>
        <w:pStyle w:val="BodyText"/>
      </w:pPr>
      <w:r>
        <w:rPr>
          <w:b/>
          <w:bCs/>
        </w:rPr>
        <w:t xml:space="preserve">Class B Shareholders:</w:t>
      </w:r>
      <w:r>
        <w:t xml:space="preserve"> </w:t>
      </w:r>
      <w:r>
        <w:t xml:space="preserve">$1.50 per share in dividends. Someone holding 500 shares receives $750. Book value per share also increased because the office retained $25,000 in the liquidity pool plus the $12,000 performance fee flows in as additional office income.</w:t>
      </w:r>
    </w:p>
    <w:p>
      <w:pPr>
        <w:pStyle w:val="BodyText"/>
      </w:pPr>
      <w:r>
        <w:rPr>
          <w:b/>
          <w:bCs/>
        </w:rPr>
        <w:t xml:space="preserve">Class C Investors:</w:t>
      </w:r>
      <w:r>
        <w:t xml:space="preserve"> </w:t>
      </w:r>
      <w:r>
        <w:t xml:space="preserve">Approximately $36,000 in net returns on $2,000,000 invested, or about 1.8% for the quarter (~7.2% annualized). They kept roughly 60% of the fund's growth.</w:t>
      </w:r>
    </w:p>
    <w:bookmarkEnd w:id="18"/>
    <w:bookmarkStart w:id="19" w:name="the-asymmetry"/>
    <w:p>
      <w:pPr>
        <w:pStyle w:val="Heading2"/>
      </w:pPr>
      <w:r>
        <w:t xml:space="preserve">7.5 — The Asymmetry</w:t>
      </w:r>
    </w:p>
    <w:p>
      <w:pPr>
        <w:pStyle w:val="FirstParagraph"/>
      </w:pPr>
      <w:r>
        <w:t xml:space="preserve">The risk profile for Class C investors is structurally asymmetric in their favor:</w:t>
      </w:r>
    </w:p>
    <w:p>
      <w:pPr>
        <w:pStyle w:val="Compact"/>
        <w:numPr>
          <w:ilvl w:val="0"/>
          <w:numId w:val="1002"/>
        </w:numPr>
      </w:pPr>
      <w:r>
        <w:t xml:space="preserve">In a growth quarter: investors keep approximately 60% of fund growth. Uncapped upside.</w:t>
      </w:r>
    </w:p>
    <w:p>
      <w:pPr>
        <w:pStyle w:val="Compact"/>
        <w:numPr>
          <w:ilvl w:val="0"/>
          <w:numId w:val="1002"/>
        </w:numPr>
      </w:pPr>
      <w:r>
        <w:t xml:space="preserve">In a loss quarter: the only cost to the investor is the 0.5% quarterly management fee ($10,000 on $2M). No performance fee is charged (no growth, no fee). No profit share is taken (no growth, nothing to share). Maximum quarterly downside: 0.5%.</w:t>
      </w:r>
    </w:p>
    <w:p>
      <w:pPr>
        <w:pStyle w:val="FirstParagraph"/>
      </w:pPr>
      <w:r>
        <w:t xml:space="preserve">This asymmetry exists because the underlying businesses have structurally flexible costs. Labor — the largest expense in most businesses — scales with revenue through the COF rate. A down quarter does not mean the subsidiaries are hemorrhaging cash on fixed payroll. They naturally contract. The fund's holdings are not burning through reserves to stay alive. They are adjusting automatically, preserving capital, and waiting for the next growth cycle.</w:t>
      </w:r>
    </w:p>
    <w:bookmarkEnd w:id="19"/>
    <w:bookmarkStart w:id="20" w:name="parameters-to-be-determined"/>
    <w:p>
      <w:pPr>
        <w:pStyle w:val="Heading2"/>
      </w:pPr>
      <w:r>
        <w:t xml:space="preserve">7.6 — Parameters To Be Determined</w:t>
      </w:r>
    </w:p>
    <w:p>
      <w:pPr>
        <w:pStyle w:val="FirstParagraph"/>
      </w:pPr>
      <w:r>
        <w:rPr>
          <w:i/>
          <w:iCs/>
        </w:rPr>
        <w:t xml:space="preserve">The following Class C parameters are acknowledged as part of the framework but are not yet finalized. They will be established by Class A members before Class C shares are offered and amended into this document at that time:</w:t>
      </w:r>
    </w:p>
    <w:p>
      <w:pPr>
        <w:pStyle w:val="Compact"/>
        <w:numPr>
          <w:ilvl w:val="0"/>
          <w:numId w:val="1003"/>
        </w:numPr>
      </w:pPr>
      <w:r>
        <w:t xml:space="preserve">The hurdle rate above which the 20% performance fee applies.</w:t>
      </w:r>
    </w:p>
    <w:p>
      <w:pPr>
        <w:pStyle w:val="Compact"/>
        <w:numPr>
          <w:ilvl w:val="0"/>
          <w:numId w:val="1003"/>
        </w:numPr>
      </w:pPr>
      <w:r>
        <w:t xml:space="preserve">Any cap on individual Class C holdings (to prevent concentration risk).</w:t>
      </w:r>
    </w:p>
    <w:p>
      <w:pPr>
        <w:pStyle w:val="Compact"/>
        <w:numPr>
          <w:ilvl w:val="0"/>
          <w:numId w:val="1003"/>
        </w:numPr>
      </w:pPr>
      <w:r>
        <w:t xml:space="preserve">Any cap on total Class C capital relative to the office's total assets.</w:t>
      </w:r>
    </w:p>
    <w:p>
      <w:pPr>
        <w:pStyle w:val="Compact"/>
        <w:numPr>
          <w:ilvl w:val="0"/>
          <w:numId w:val="1003"/>
        </w:numPr>
      </w:pPr>
      <w:r>
        <w:t xml:space="preserve">Minimum investment thresholds and lock-up periods.</w:t>
      </w:r>
    </w:p>
    <w:p>
      <w:pPr>
        <w:pStyle w:val="Compact"/>
        <w:numPr>
          <w:ilvl w:val="0"/>
          <w:numId w:val="1003"/>
        </w:numPr>
      </w:pPr>
      <w:r>
        <w:t xml:space="preserve">Fund reporting cadence and format for Class C investors.</w:t>
      </w:r>
    </w:p>
    <w:p>
      <w:pPr>
        <w:pStyle w:val="FirstParagraph"/>
      </w:pPr>
      <w:r>
        <w:rPr>
          <w:i/>
          <w:iCs/>
        </w:rPr>
        <w:t xml:space="preserve">This framework is a living document. Its parameters may be adjusted by Class A members through the amendment process described in Article IX of the Constitution. The principles — earned-only minting, book-value pricing, any-time cash-out, and the separation of Class B and Class C pools — are permanent.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Equity Framework</dc:title>
  <dc:creator/>
  <cp:keywords/>
  <dcterms:created xsi:type="dcterms:W3CDTF">2026-04-11T14:35:08Z</dcterms:created>
  <dcterms:modified xsi:type="dcterms:W3CDTF">2026-04-11T14:35:08Z</dcterms:modified>
</cp:coreProperties>
</file>

<file path=docProps/custom.xml><?xml version="1.0" encoding="utf-8"?>
<Properties xmlns="http://schemas.openxmlformats.org/officeDocument/2006/custom-properties" xmlns:vt="http://schemas.openxmlformats.org/officeDocument/2006/docPropsVTypes"/>
</file>