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Framework</w:t>
      </w:r>
    </w:p>
    <w:p>
      <w:pPr>
        <w:pStyle w:val="FirstParagraph"/>
      </w:pPr>
      <w:r>
        <w:rPr>
          <w:b/>
          <w:bCs/>
        </w:rPr>
        <w:t xml:space="preserve">THE FINANCIAL</w:t>
      </w:r>
    </w:p>
    <w:p>
      <w:pPr>
        <w:pStyle w:val="BodyText"/>
      </w:pPr>
      <w:r>
        <w:rPr>
          <w:b/>
          <w:bCs/>
        </w:rPr>
        <w:t xml:space="preserve">FRAMEWORK</w:t>
      </w:r>
    </w:p>
    <w:p>
      <w:pPr>
        <w:pStyle w:val="BodyText"/>
      </w:pPr>
      <w:r>
        <w:rPr>
          <w:i/>
          <w:iCs/>
        </w:rPr>
        <w:t xml:space="preserve">How Money Flows Through</w:t>
      </w:r>
    </w:p>
    <w:p>
      <w:pPr>
        <w:pStyle w:val="BodyText"/>
      </w:pPr>
      <w:r>
        <w:rPr>
          <w:i/>
          <w:iCs/>
        </w:rPr>
        <w:t xml:space="preserve">the Faleth Capital Ecosystem</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financial mechanics summarized in Article III of the Faleth Capital Constitution. For the philosophical foundation — the One-Third Rule, the Two Buckets, and the mission — see Article I. For how weekly compensation is calculated at the subsidiary level, see The Contribution Framework.</w:t>
      </w:r>
    </w:p>
    <w:bookmarkStart w:id="9" w:name="section-1-the-parent-company-fee"/>
    <w:p>
      <w:pPr>
        <w:pStyle w:val="Heading1"/>
      </w:pPr>
      <w:r>
        <w:t xml:space="preserve">Section 1: The Parent Company Fee</w:t>
      </w:r>
    </w:p>
    <w:p>
      <w:pPr>
        <w:pStyle w:val="FirstParagraph"/>
      </w:pPr>
      <w:r>
        <w:t xml:space="preserve">Each subsidiary pays a fee to Faleth Capital. The fee is calculated as the higher of:</w:t>
      </w:r>
    </w:p>
    <w:p>
      <w:pPr>
        <w:pStyle w:val="Compact"/>
        <w:numPr>
          <w:ilvl w:val="0"/>
          <w:numId w:val="1001"/>
        </w:numPr>
      </w:pPr>
      <w:r>
        <w:t xml:space="preserve">5% of top-line revenue, or</w:t>
      </w:r>
    </w:p>
    <w:p>
      <w:pPr>
        <w:pStyle w:val="Compact"/>
        <w:numPr>
          <w:ilvl w:val="0"/>
          <w:numId w:val="1001"/>
        </w:numPr>
      </w:pPr>
      <w:r>
        <w:t xml:space="preserve">One-third (33.3%) of bottom-line net profit.</w:t>
      </w:r>
    </w:p>
    <w:p>
      <w:pPr>
        <w:pStyle w:val="FirstParagraph"/>
      </w:pPr>
      <w:r>
        <w:t xml:space="preserve">Whichever produces the higher number in a given quarter is the amount collected. This structure protects the office's income floor (via the revenue-based calculation) while also ensuring that highly profitable subsidiaries contribute proportionally (via the profit-based calculation). The fee funds the shared liquidity pool, dividends, office-level profit share, and the minimal operating expenses of the office itself.</w:t>
      </w:r>
    </w:p>
    <w:bookmarkEnd w:id="9"/>
    <w:bookmarkStart w:id="10" w:name="X677e2de80ced44033d53bd97ca388a66fa70521"/>
    <w:p>
      <w:pPr>
        <w:pStyle w:val="Heading1"/>
      </w:pPr>
      <w:r>
        <w:t xml:space="preserve">Section 2: Subsidiary-Level Financial Flow</w:t>
      </w:r>
    </w:p>
    <w:p>
      <w:pPr>
        <w:pStyle w:val="FirstParagraph"/>
      </w:pPr>
      <w:r>
        <w:t xml:space="preserve">Each subsidiary's financial flow follows this sequence: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Component</w:t>
            </w:r>
          </w:p>
        </w:tc>
        <w:tc>
          <w:tcPr/>
          <w:p>
            <w:pPr>
              <w:pStyle w:val="Compact"/>
            </w:pPr>
            <w:r>
              <w:rPr>
                <w:b/>
                <w:bCs/>
              </w:rPr>
              <w:t xml:space="preserve">Description</w:t>
            </w:r>
          </w:p>
        </w:tc>
      </w:tr>
      <w:tr>
        <w:tc>
          <w:tcPr/>
          <w:p>
            <w:pPr>
              <w:pStyle w:val="Compact"/>
            </w:pPr>
            <w:r>
              <w:t xml:space="preserve">Revenue</w:t>
            </w:r>
          </w:p>
        </w:tc>
        <w:tc>
          <w:tcPr/>
          <w:p>
            <w:pPr>
              <w:pStyle w:val="Compact"/>
            </w:pPr>
            <w:r>
              <w:t xml:space="preserve">Total collected from customers</w:t>
            </w:r>
          </w:p>
        </w:tc>
      </w:tr>
      <w:tr>
        <w:tc>
          <w:tcPr/>
          <w:p>
            <w:pPr>
              <w:pStyle w:val="Compact"/>
            </w:pPr>
            <w:r>
              <w:t xml:space="preserve">Cost of Goods (COG)</w:t>
            </w:r>
          </w:p>
        </w:tc>
        <w:tc>
          <w:tcPr/>
          <w:p>
            <w:pPr>
              <w:pStyle w:val="Compact"/>
            </w:pPr>
            <w:r>
              <w:t xml:space="preserve">Direct material and parts costs</w:t>
            </w:r>
          </w:p>
        </w:tc>
      </w:tr>
      <w:tr>
        <w:tc>
          <w:tcPr/>
          <w:p>
            <w:pPr>
              <w:pStyle w:val="Compact"/>
            </w:pPr>
            <w:r>
              <w:t xml:space="preserve">Gross Profit</w:t>
            </w:r>
          </w:p>
        </w:tc>
        <w:tc>
          <w:tcPr/>
          <w:p>
            <w:pPr>
              <w:pStyle w:val="Compact"/>
            </w:pPr>
            <w:r>
              <w:t xml:space="preserve">Revenue minus COG; the value the team directly created</w:t>
            </w:r>
          </w:p>
        </w:tc>
      </w:tr>
      <w:tr>
        <w:tc>
          <w:tcPr/>
          <w:p>
            <w:pPr>
              <w:pStyle w:val="Compact"/>
            </w:pPr>
            <w:r>
              <w:t xml:space="preserve">Cost of Acquisition (COA)</w:t>
            </w:r>
          </w:p>
        </w:tc>
        <w:tc>
          <w:tcPr/>
          <w:p>
            <w:pPr>
              <w:pStyle w:val="Compact"/>
            </w:pPr>
            <w:r>
              <w:t xml:space="preserve">Marketing and customer acquisition costs</w:t>
            </w:r>
          </w:p>
        </w:tc>
      </w:tr>
      <w:tr>
        <w:tc>
          <w:tcPr/>
          <w:p>
            <w:pPr>
              <w:pStyle w:val="Compact"/>
            </w:pPr>
            <w:r>
              <w:t xml:space="preserve">Cost of Fulfillment (COF)</w:t>
            </w:r>
          </w:p>
        </w:tc>
        <w:tc>
          <w:tcPr/>
          <w:p>
            <w:pPr>
              <w:pStyle w:val="Compact"/>
            </w:pPr>
            <w:r>
              <w:t xml:space="preserve">The team pool for weekly contribution-based pay (Layer 2)</w:t>
            </w:r>
          </w:p>
        </w:tc>
      </w:tr>
      <w:tr>
        <w:tc>
          <w:tcPr/>
          <w:p>
            <w:pPr>
              <w:pStyle w:val="Compact"/>
            </w:pPr>
            <w:r>
              <w:t xml:space="preserve">Fixed Costs</w:t>
            </w:r>
          </w:p>
        </w:tc>
        <w:tc>
          <w:tcPr/>
          <w:p>
            <w:pPr>
              <w:pStyle w:val="Compact"/>
            </w:pPr>
            <w:r>
              <w:t xml:space="preserve">Rent, utilities, insurance, software, and other monthly expenses</w:t>
            </w:r>
          </w:p>
        </w:tc>
      </w:tr>
      <w:tr>
        <w:tc>
          <w:tcPr/>
          <w:p>
            <w:pPr>
              <w:pStyle w:val="Compact"/>
            </w:pPr>
            <w:r>
              <w:t xml:space="preserve">Parent Company Fee</w:t>
            </w:r>
          </w:p>
        </w:tc>
        <w:tc>
          <w:tcPr/>
          <w:p>
            <w:pPr>
              <w:pStyle w:val="Compact"/>
            </w:pPr>
            <w:r>
              <w:t xml:space="preserve">Higher of 5% of revenue or 1/3 of net profit, paid to Faleth Capital</w:t>
            </w:r>
          </w:p>
        </w:tc>
      </w:tr>
      <w:tr>
        <w:tc>
          <w:tcPr/>
          <w:p>
            <w:pPr>
              <w:pStyle w:val="Compact"/>
            </w:pPr>
            <w:r>
              <w:t xml:space="preserve">Subsidiary Profit Share (20%)</w:t>
            </w:r>
          </w:p>
        </w:tc>
        <w:tc>
          <w:tcPr/>
          <w:p>
            <w:pPr>
              <w:pStyle w:val="Compact"/>
            </w:pPr>
            <w:r>
              <w:t xml:space="preserve">Distributed quarterly to subsidiary team based on Layer 2 earnings</w:t>
            </w:r>
          </w:p>
        </w:tc>
      </w:tr>
      <w:tr>
        <w:tc>
          <w:tcPr/>
          <w:p>
            <w:pPr>
              <w:pStyle w:val="Compact"/>
            </w:pPr>
            <w:r>
              <w:t xml:space="preserve">Subsidiary Net Profit</w:t>
            </w:r>
          </w:p>
        </w:tc>
        <w:tc>
          <w:tcPr/>
          <w:p>
            <w:pPr>
              <w:pStyle w:val="Compact"/>
            </w:pPr>
            <w:r>
              <w:t xml:space="preserve">Retained by the subsidiary for reinvestment and reserves</w:t>
            </w:r>
          </w:p>
        </w:tc>
      </w:tr>
    </w:tbl>
    <w:p>
      <w:pPr>
        <w:pStyle w:val="BodyText"/>
      </w:pPr>
      <w:r>
        <w:rPr>
          <w:i/>
          <w:iCs/>
        </w:rPr>
        <w:t xml:space="preserve">For the detailed mechanics of how the team pool (COF) is divided among participants using contribution points, see Section 2 of the Contribution Framework.</w:t>
      </w:r>
    </w:p>
    <w:bookmarkEnd w:id="10"/>
    <w:bookmarkStart w:id="12" w:name="section-3-family-office-financial-flow"/>
    <w:p>
      <w:pPr>
        <w:pStyle w:val="Heading1"/>
      </w:pPr>
      <w:r>
        <w:t xml:space="preserve">Section 3: Family Office Financial Flow</w:t>
      </w:r>
    </w:p>
    <w:p>
      <w:pPr>
        <w:pStyle w:val="FirstParagraph"/>
      </w:pPr>
      <w:r>
        <w:t xml:space="preserve">The math is deliberately simple. Each quarter, you look at one balance sheet and compare it to last quarter. All allocations are calculated simultaneously off the same snapshot — no calculation's output feeds into another's input.</w:t>
      </w:r>
    </w:p>
    <w:bookmarkStart w:id="11" w:name="how-it-works"/>
    <w:p>
      <w:pPr>
        <w:pStyle w:val="Heading2"/>
      </w:pPr>
      <w:r>
        <w:t xml:space="preserve">3.1 — How It Works</w:t>
      </w:r>
    </w:p>
    <w:p>
      <w:pPr>
        <w:pStyle w:val="FirstParagraph"/>
      </w:pPr>
      <w:r>
        <w:rPr>
          <w:b/>
          <w:bCs/>
        </w:rPr>
        <w:t xml:space="preserve">Step 1:</w:t>
      </w:r>
      <w:r>
        <w:t xml:space="preserve"> </w:t>
      </w:r>
      <w:r>
        <w:t xml:space="preserve">Look at the total portfolio balance sheet. Calculate total growth across everything — all subsidiaries, the office's own holdings, and the managed fund. Call that number $X.</w:t>
      </w:r>
    </w:p>
    <w:p>
      <w:pPr>
        <w:pStyle w:val="BodyText"/>
      </w:pPr>
      <w:r>
        <w:rPr>
          <w:b/>
          <w:bCs/>
        </w:rPr>
        <w:t xml:space="preserve">Step 2:</w:t>
      </w:r>
      <w:r>
        <w:t xml:space="preserve"> </w:t>
      </w:r>
      <w:r>
        <w:t xml:space="preserve">20% of $X goes to employees as profit share, distributed across all participants by total Layer 2 pay. This comes off total portfolio growth because everyone contributed to making that number move.</w:t>
      </w:r>
    </w:p>
    <w:p>
      <w:pPr>
        <w:pStyle w:val="BodyText"/>
      </w:pPr>
      <w:r>
        <w:rPr>
          <w:b/>
          <w:bCs/>
        </w:rPr>
        <w:t xml:space="preserve">Step 3 (simultaneously):</w:t>
      </w:r>
      <w:r>
        <w:t xml:space="preserve"> </w:t>
      </w:r>
      <w:r>
        <w:t xml:space="preserve">Look at the office's own holdings growth (subsidiary fees collected, 2 and 20 fees earned, liquidity pool appreciation). 30% of that growth goes to Class B shareholders as dividends. 50% stays in the liquidity pool.</w:t>
      </w:r>
    </w:p>
    <w:p>
      <w:pPr>
        <w:pStyle w:val="BodyText"/>
      </w:pPr>
      <w:r>
        <w:rPr>
          <w:b/>
          <w:bCs/>
        </w:rPr>
        <w:t xml:space="preserve">Step 4 (simultaneously):</w:t>
      </w:r>
      <w:r>
        <w:t xml:space="preserve"> </w:t>
      </w:r>
      <w:r>
        <w:t xml:space="preserve">Class C investors receive the growth on their managed fund capital, net of the 2 and 20 fees the office already collected, and net of the 20% profit share.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Calculated From</w:t>
            </w:r>
          </w:p>
        </w:tc>
        <w:tc>
          <w:tcPr/>
          <w:p>
            <w:pPr>
              <w:pStyle w:val="Compact"/>
            </w:pPr>
            <w:r>
              <w:rPr>
                <w:b/>
                <w:bCs/>
              </w:rPr>
              <w:t xml:space="preserve">Goes To</w:t>
            </w:r>
          </w:p>
        </w:tc>
      </w:tr>
      <w:tr>
        <w:tc>
          <w:tcPr/>
          <w:p>
            <w:pPr>
              <w:pStyle w:val="Compact"/>
            </w:pPr>
            <w:r>
              <w:t xml:space="preserve">20%</w:t>
            </w:r>
          </w:p>
        </w:tc>
        <w:tc>
          <w:tcPr/>
          <w:p>
            <w:pPr>
              <w:pStyle w:val="Compact"/>
            </w:pPr>
            <w:r>
              <w:t xml:space="preserve">Total portfolio balance sheet growth</w:t>
            </w:r>
          </w:p>
        </w:tc>
        <w:tc>
          <w:tcPr/>
          <w:p>
            <w:pPr>
              <w:pStyle w:val="Compact"/>
            </w:pPr>
            <w:r>
              <w:t xml:space="preserve">Employee profit share (all participants, by Layer 2 pay)</w:t>
            </w:r>
          </w:p>
        </w:tc>
      </w:tr>
      <w:tr>
        <w:tc>
          <w:tcPr/>
          <w:p>
            <w:pPr>
              <w:pStyle w:val="Compact"/>
            </w:pPr>
            <w:r>
              <w:t xml:space="preserve">30%</w:t>
            </w:r>
          </w:p>
        </w:tc>
        <w:tc>
          <w:tcPr/>
          <w:p>
            <w:pPr>
              <w:pStyle w:val="Compact"/>
            </w:pPr>
            <w:r>
              <w:t xml:space="preserve">Office's own holdings growth</w:t>
            </w:r>
          </w:p>
        </w:tc>
        <w:tc>
          <w:tcPr/>
          <w:p>
            <w:pPr>
              <w:pStyle w:val="Compact"/>
            </w:pPr>
            <w:r>
              <w:t xml:space="preserve">Class B shareholder dividends</w:t>
            </w:r>
          </w:p>
        </w:tc>
      </w:tr>
      <w:tr>
        <w:tc>
          <w:tcPr/>
          <w:p>
            <w:pPr>
              <w:pStyle w:val="Compact"/>
            </w:pPr>
            <w:r>
              <w:t xml:space="preserve">50%</w:t>
            </w:r>
          </w:p>
        </w:tc>
        <w:tc>
          <w:tcPr/>
          <w:p>
            <w:pPr>
              <w:pStyle w:val="Compact"/>
            </w:pPr>
            <w:r>
              <w:t xml:space="preserve">Office's own holdings growth</w:t>
            </w:r>
          </w:p>
        </w:tc>
        <w:tc>
          <w:tcPr/>
          <w:p>
            <w:pPr>
              <w:pStyle w:val="Compact"/>
            </w:pPr>
            <w:r>
              <w:t xml:space="preserve">Liquidity pool (retained by Faleth Capital)</w:t>
            </w:r>
          </w:p>
        </w:tc>
      </w:tr>
      <w:tr>
        <w:tc>
          <w:tcPr/>
          <w:p>
            <w:pPr>
              <w:pStyle w:val="Compact"/>
            </w:pPr>
            <w:r>
              <w:t xml:space="preserve">Remainder</w:t>
            </w:r>
          </w:p>
        </w:tc>
        <w:tc>
          <w:tcPr/>
          <w:p>
            <w:pPr>
              <w:pStyle w:val="Compact"/>
            </w:pPr>
            <w:r>
              <w:t xml:space="preserve">Managed fund growth (after 20% profit share and 2 and 20 fees)</w:t>
            </w:r>
          </w:p>
        </w:tc>
        <w:tc>
          <w:tcPr/>
          <w:p>
            <w:pPr>
              <w:pStyle w:val="Compact"/>
            </w:pPr>
            <w:r>
              <w:t xml:space="preserve">Class C investors</w:t>
            </w:r>
          </w:p>
        </w:tc>
      </w:tr>
    </w:tbl>
    <w:p>
      <w:pPr>
        <w:pStyle w:val="BodyText"/>
      </w:pPr>
      <w:r>
        <w:t xml:space="preserve">All four calculations happen at the same time off the same quarterly snapshot, and all payments go out together — profit share and dividends land in the same quarterly distribution. The 20% is 20%. The 30% is 30%. The 50% is 50%. No sequential dependencies. A fifth grader could audit it.</w:t>
      </w:r>
    </w:p>
    <w:p>
      <w:pPr>
        <w:pStyle w:val="BodyText"/>
      </w:pPr>
      <w:r>
        <w:rPr>
          <w:i/>
          <w:iCs/>
        </w:rPr>
        <w:t xml:space="preserve">For the full mechanics of how Class C managed fund capital interacts with these calculations, see Section 5 of the Equity Framework.</w:t>
      </w:r>
    </w:p>
    <w:bookmarkEnd w:id="11"/>
    <w:bookmarkEnd w:id="12"/>
    <w:bookmarkStart w:id="13" w:name="section-4-layered-incentive-alignment"/>
    <w:p>
      <w:pPr>
        <w:pStyle w:val="Heading1"/>
      </w:pPr>
      <w:r>
        <w:t xml:space="preserve">Section 4: Layered Incentive Alignment</w:t>
      </w:r>
    </w:p>
    <w:p>
      <w:pPr>
        <w:pStyle w:val="FirstParagraph"/>
      </w:pPr>
      <w:r>
        <w:t xml:space="preserve">The system creates three layers of financial incentive, each operating at a different time horizon and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Layer</w:t>
            </w:r>
          </w:p>
        </w:tc>
        <w:tc>
          <w:tcPr/>
          <w:p>
            <w:pPr>
              <w:pStyle w:val="Compact"/>
            </w:pPr>
            <w:r>
              <w:rPr>
                <w:b/>
                <w:bCs/>
              </w:rPr>
              <w:t xml:space="preserve">Source</w:t>
            </w:r>
          </w:p>
        </w:tc>
        <w:tc>
          <w:tcPr/>
          <w:p>
            <w:pPr>
              <w:pStyle w:val="Compact"/>
            </w:pPr>
            <w:r>
              <w:rPr>
                <w:b/>
                <w:bCs/>
              </w:rPr>
              <w:t xml:space="preserve">Frequency</w:t>
            </w:r>
          </w:p>
        </w:tc>
        <w:tc>
          <w:tcPr/>
          <w:p>
            <w:pPr>
              <w:pStyle w:val="Compact"/>
            </w:pPr>
            <w:r>
              <w:rPr>
                <w:b/>
                <w:bCs/>
              </w:rPr>
              <w:t xml:space="preserve">Scope of Alignment</w:t>
            </w:r>
          </w:p>
        </w:tc>
      </w:tr>
      <w:tr>
        <w:tc>
          <w:tcPr/>
          <w:p>
            <w:pPr>
              <w:pStyle w:val="Compact"/>
            </w:pPr>
            <w:r>
              <w:t xml:space="preserve">Layer 2</w:t>
            </w:r>
          </w:p>
        </w:tc>
        <w:tc>
          <w:tcPr/>
          <w:p>
            <w:pPr>
              <w:pStyle w:val="Compact"/>
            </w:pPr>
            <w:r>
              <w:t xml:space="preserve">Gross margin × COF rate</w:t>
            </w:r>
          </w:p>
        </w:tc>
        <w:tc>
          <w:tcPr/>
          <w:p>
            <w:pPr>
              <w:pStyle w:val="Compact"/>
            </w:pPr>
            <w:r>
              <w:t xml:space="preserve">Weekly</w:t>
            </w:r>
          </w:p>
        </w:tc>
        <w:tc>
          <w:tcPr/>
          <w:p>
            <w:pPr>
              <w:pStyle w:val="Compact"/>
            </w:pPr>
            <w:r>
              <w:t xml:space="preserve">Your direct work, this week</w:t>
            </w:r>
          </w:p>
        </w:tc>
      </w:tr>
      <w:tr>
        <w:tc>
          <w:tcPr/>
          <w:p>
            <w:pPr>
              <w:pStyle w:val="Compact"/>
            </w:pPr>
            <w:r>
              <w:t xml:space="preserve">Layer 3a</w:t>
            </w:r>
          </w:p>
        </w:tc>
        <w:tc>
          <w:tcPr/>
          <w:p>
            <w:pPr>
              <w:pStyle w:val="Compact"/>
            </w:pPr>
            <w:r>
              <w:t xml:space="preserve">20% of subsidiary net profit (or 10%/10% unit/subsidiary split in multi-unit subsidiaries)</w:t>
            </w:r>
          </w:p>
        </w:tc>
        <w:tc>
          <w:tcPr/>
          <w:p>
            <w:pPr>
              <w:pStyle w:val="Compact"/>
            </w:pPr>
            <w:r>
              <w:t xml:space="preserve">Quarterly</w:t>
            </w:r>
          </w:p>
        </w:tc>
        <w:tc>
          <w:tcPr/>
          <w:p>
            <w:pPr>
              <w:pStyle w:val="Compact"/>
            </w:pPr>
            <w:r>
              <w:t xml:space="preserve">Your unit and your subsidiary's overall health</w:t>
            </w:r>
          </w:p>
        </w:tc>
      </w:tr>
      <w:tr>
        <w:tc>
          <w:tcPr/>
          <w:p>
            <w:pPr>
              <w:pStyle w:val="Compact"/>
            </w:pPr>
            <w:r>
              <w:t xml:space="preserve">Layer 3b</w:t>
            </w:r>
          </w:p>
        </w:tc>
        <w:tc>
          <w:tcPr/>
          <w:p>
            <w:pPr>
              <w:pStyle w:val="Compact"/>
            </w:pPr>
            <w:r>
              <w:t xml:space="preserve">20% of total portfolio balance sheet growth</w:t>
            </w:r>
          </w:p>
        </w:tc>
        <w:tc>
          <w:tcPr/>
          <w:p>
            <w:pPr>
              <w:pStyle w:val="Compact"/>
            </w:pPr>
            <w:r>
              <w:t xml:space="preserve">Quarterly</w:t>
            </w:r>
          </w:p>
        </w:tc>
        <w:tc>
          <w:tcPr/>
          <w:p>
            <w:pPr>
              <w:pStyle w:val="Compact"/>
            </w:pPr>
            <w:r>
              <w:t xml:space="preserve">The entire portfolio's health</w:t>
            </w:r>
          </w:p>
        </w:tc>
      </w:tr>
      <w:tr>
        <w:tc>
          <w:tcPr/>
          <w:p>
            <w:pPr>
              <w:pStyle w:val="Compact"/>
            </w:pPr>
            <w:r>
              <w:t xml:space="preserve">Dividends</w:t>
            </w:r>
          </w:p>
        </w:tc>
        <w:tc>
          <w:tcPr/>
          <w:p>
            <w:pPr>
              <w:pStyle w:val="Compact"/>
            </w:pPr>
            <w:r>
              <w:t xml:space="preserve">30% of office's own holdings growth</w:t>
            </w:r>
          </w:p>
        </w:tc>
        <w:tc>
          <w:tcPr/>
          <w:p>
            <w:pPr>
              <w:pStyle w:val="Compact"/>
            </w:pPr>
            <w:r>
              <w:t xml:space="preserve">Quarterly</w:t>
            </w:r>
          </w:p>
        </w:tc>
        <w:tc>
          <w:tcPr/>
          <w:p>
            <w:pPr>
              <w:pStyle w:val="Compact"/>
            </w:pPr>
            <w:r>
              <w:t xml:space="preserve">Long-term enterprise value</w:t>
            </w:r>
          </w:p>
        </w:tc>
      </w:tr>
    </w:tbl>
    <w:p>
      <w:pPr>
        <w:pStyle w:val="BodyText"/>
      </w:pPr>
      <w:r>
        <w:t xml:space="preserve">Both profit share distributions (3a and 3b) are paid simultaneously each quarter. At each level, the participant independently chooses: take cash, mint Class B shares, or any combination. This means every quarter, a participant has four separate allocation decisions to make — two profit share payouts and two cash-or-mint choices. The flexibility is total.</w:t>
      </w:r>
    </w:p>
    <w:p>
      <w:pPr>
        <w:pStyle w:val="BodyText"/>
      </w:pPr>
      <w:r>
        <w:rPr>
          <w:i/>
          <w:iCs/>
        </w:rPr>
        <w:t xml:space="preserve">In multi-unit subsidiaries, Layer 3a may be split into a 10% unit-level profit share and a 10% subsidiary-level profit share when the team votes to adopt the split structure. This adds a fourth scope of alignment — your unit's direct performance — without changing the total percentage. See The Unit Framework, Unit-Level Profit Sharing for details.</w:t>
      </w:r>
    </w:p>
    <w:p>
      <w:pPr>
        <w:pStyle w:val="BodyText"/>
      </w:pPr>
      <w:r>
        <w:rPr>
          <w:i/>
          <w:iCs/>
        </w:rPr>
        <w:t xml:space="preserve">For the mechanics of minting Class B shares with profit share, see Section 3 of the Equity Framework.</w:t>
      </w:r>
    </w:p>
    <w:bookmarkEnd w:id="13"/>
    <w:bookmarkStart w:id="14" w:name="section-5-structural-redundancy"/>
    <w:p>
      <w:pPr>
        <w:pStyle w:val="Heading1"/>
      </w:pPr>
      <w:r>
        <w:t xml:space="preserve">Section 5: Structural Redundancy</w:t>
      </w:r>
    </w:p>
    <w:p>
      <w:pPr>
        <w:pStyle w:val="FirstParagraph"/>
      </w:pPr>
      <w:r>
        <w:t xml:space="preserve">Each layer of this system was designed to solve a specific problem: Layer 2 for immediate productivity alignment, the subsidiary profit share for local ownership, the office profit share for portfolio-wide thinking, dividends for long-term compounding, and the network marketing pathway for entrepreneurial education and safety net building. None of these layers were designed as backup systems for the others. And yet, because each one was built to solve its own problem honestly, they naturally create redundancy.</w:t>
      </w:r>
    </w:p>
    <w:p>
      <w:pPr>
        <w:pStyle w:val="BodyText"/>
      </w:pPr>
      <w:r>
        <w:t xml:space="preserve">Consider the scenario where the office is in an aggressive growth period — deploying capital into new subsidiaries that have not yet become profitable. The office-level balance sheet growth may be flat or negative for several quarters while those investments mature. The office-level profit share (Layer 3b) shrinks. The dividend pool thins. But the subsidiaries that are already operating are unaffected. Their Layer 2 pay still flows from gross margin. Their subsidiary-level profit share (Layer 3a) still calculates off their own net profit. Participants can still mint shares with their subsidiary profit share, and because book value may be temporarily suppressed by the capital deployment, they are effectively minting at a discount. When the new investments mature and the office's balance sheet growth resumes, those shares appreciate.</w:t>
      </w:r>
    </w:p>
    <w:p>
      <w:pPr>
        <w:pStyle w:val="BodyText"/>
      </w:pPr>
      <w:r>
        <w:t xml:space="preserve">The system does not require every layer to be performing well simultaneously. It requires at least one layer to be functioning, and the architecture makes it structurally difficult for all layers to fail at the same time. Labor costs flex with revenue through the COF rate, eliminating the largest fixed cost risk. The safety net bucket (Bucket One) is built specifically for the scenario where active income falters. The network marketing income stream operates entirely outside the Faleth Capital balance sheet. For everything to fail simultaneously, every subsidiary would need to have no customers, the office would need to have made catastrophic investments, the network marketing business would need to have collapsed, and the safety net would need to be empty. That is not a realistic scenario. It is the kind of alignment that would take down any business model.</w:t>
      </w:r>
    </w:p>
    <w:p>
      <w:pPr>
        <w:pStyle w:val="BodyText"/>
      </w:pPr>
      <w:r>
        <w:rPr>
          <w:i/>
          <w:iCs/>
        </w:rPr>
        <w:t xml:space="preserve">This redundancy was not engineered. It emerged. That is usually a sign the architecture is sound — the safety was not bolted on after the fact. It grew naturally from solving each problem on its own terms.</w:t>
      </w:r>
    </w:p>
    <w:bookmarkEnd w:id="14"/>
    <w:bookmarkStart w:id="15" w:name="section-6-the-liquidity-reserve-policy"/>
    <w:p>
      <w:pPr>
        <w:pStyle w:val="Heading1"/>
      </w:pPr>
      <w:r>
        <w:t xml:space="preserve">Section 6: The Liquidity Reserve Policy</w:t>
      </w:r>
    </w:p>
    <w:p>
      <w:pPr>
        <w:pStyle w:val="FirstParagraph"/>
      </w:pPr>
      <w:r>
        <w:t xml:space="preserve">Consistent with the Talmudic one-third principle that undergirds Faleth Capital's philosophy (see Section 1.3 of the Constitution), the family office maintains a liquidity reserve policy:</w:t>
      </w:r>
    </w:p>
    <w:p>
      <w:pPr>
        <w:pStyle w:val="BodyText"/>
      </w:pPr>
      <w:r>
        <w:rPr>
          <w:b/>
          <w:bCs/>
          <w:i/>
          <w:iCs/>
        </w:rPr>
        <w:t xml:space="preserve">Faleth Capital's liquid capital must be maintained at a level equivalent to the combined balance sheets of all its subsidiaries.</w:t>
      </w:r>
    </w:p>
    <w:p>
      <w:pPr>
        <w:pStyle w:val="BodyText"/>
      </w:pPr>
      <w:r>
        <w:t xml:space="preserve">This means that for every dollar of assets held across the subsidiary portfolio, the office holds a corresponding dollar in liquid reserves. This policy serves the same function as the traditional shared pool: it ensures that capital is always available to fund a new subsidiary when a participant is ready to build, to weather downturns without forced liquidations, and to seize opportunities without external financing. The 50% retention allocation is the primary engine that builds this reserve over time.</w:t>
      </w:r>
    </w:p>
    <w:p>
      <w:pPr>
        <w:pStyle w:val="BodyText"/>
      </w:pPr>
      <w:r>
        <w:t xml:space="preserve">When the reserve falls below the target (for example, after funding a new subsidiary), it is not a crisis — it is a signal that the office should prioritize rebuilding the pool before making additional capital commitments. When the reserve exceeds the target, the excess represents capacity for growth: the next business, the next builder, the next cycle of the pipeline.</w:t>
      </w:r>
    </w:p>
    <w:p>
      <w:pPr>
        <w:pStyle w:val="BodyText"/>
      </w:pPr>
      <w:r>
        <w:rPr>
          <w:i/>
          <w:iCs/>
        </w:rPr>
        <w:t xml:space="preserve">This framework is a living document. Its parameters — the parent company fee percentages, the 20/30/50 allocation split, the liquidity reserve target — may be adjusted by Class A members through the amendment process described in Article IX of the Constitution. The principles of transparency, simultaneity, and structural simplicity are permanent.</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Framework</dc:title>
  <dc:creator/>
  <cp:keywords/>
  <dcterms:created xsi:type="dcterms:W3CDTF">2026-04-11T14:35:12Z</dcterms:created>
  <dcterms:modified xsi:type="dcterms:W3CDTF">2026-04-11T14:35:12Z</dcterms:modified>
</cp:coreProperties>
</file>

<file path=docProps/custom.xml><?xml version="1.0" encoding="utf-8"?>
<Properties xmlns="http://schemas.openxmlformats.org/officeDocument/2006/custom-properties" xmlns:vt="http://schemas.openxmlformats.org/officeDocument/2006/docPropsVTypes"/>
</file>