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Acquisition Transition Framework</w:t>
      </w:r>
    </w:p>
    <w:p>
      <w:pPr>
        <w:pStyle w:val="FirstParagraph"/>
      </w:pPr>
      <w:r>
        <w:rPr>
          <w:b/>
          <w:bCs/>
        </w:rPr>
        <w:t xml:space="preserve">THE ACQUISITION</w:t>
      </w:r>
    </w:p>
    <w:p>
      <w:pPr>
        <w:pStyle w:val="BodyText"/>
      </w:pPr>
      <w:r>
        <w:rPr>
          <w:b/>
          <w:bCs/>
        </w:rPr>
        <w:t xml:space="preserve">TRANSITION FRAMEWORK</w:t>
      </w:r>
    </w:p>
    <w:p>
      <w:pPr>
        <w:pStyle w:val="BodyText"/>
      </w:pPr>
      <w:r>
        <w:rPr>
          <w:i/>
          <w:iCs/>
        </w:rPr>
        <w:t xml:space="preserve">A Principled Approach to Bringing</w:t>
      </w:r>
    </w:p>
    <w:p>
      <w:pPr>
        <w:pStyle w:val="BodyText"/>
      </w:pPr>
      <w:r>
        <w:rPr>
          <w:i/>
          <w:iCs/>
        </w:rPr>
        <w:t xml:space="preserve">Existing Businesses Into the Portfolio</w:t>
      </w:r>
    </w:p>
    <w:p>
      <w:pPr>
        <w:pStyle w:val="BodyText"/>
      </w:pPr>
      <w:r>
        <w:rPr>
          <w:i/>
          <w:iCs/>
        </w:rPr>
        <w:t xml:space="preserve">Without Coercion, Surprise, or Broken Trust</w:t>
      </w:r>
    </w:p>
    <w:p>
      <w:pPr>
        <w:pStyle w:val="BodyText"/>
      </w:pPr>
      <w:r>
        <w:t xml:space="preserve">Faleth Capital</w:t>
      </w:r>
    </w:p>
    <w:p>
      <w:pPr>
        <w:pStyle w:val="BodyText"/>
      </w:pPr>
      <w:r>
        <w:t xml:space="preserve">Internal Framework Document</w:t>
      </w:r>
    </w:p>
    <w:p>
      <w:pPr>
        <w:pStyle w:val="BodyText"/>
      </w:pPr>
      <w:r>
        <w:t xml:space="preserve">Version 1.0 — Draft</w:t>
      </w:r>
    </w:p>
    <w:p>
      <w:pPr>
        <w:pStyle w:val="BodyText"/>
      </w:pPr>
      <w:r>
        <w:rPr>
          <w:i/>
          <w:iCs/>
        </w:rPr>
        <w:t xml:space="preserve">This document details the acquisition transition mechanics summarized in Article VIII of the Faleth Capital Constitution. For the compensation model that acquired businesses transition into, see The Contribution Framework. For how the acquired subsidiary integrates financially, see Faleth Capital/The Financial Framework.</w:t>
      </w:r>
    </w:p>
    <w:bookmarkStart w:id="9" w:name="section-1-why-acquisitions-are-different"/>
    <w:p>
      <w:pPr>
        <w:pStyle w:val="Heading1"/>
      </w:pPr>
      <w:r>
        <w:t xml:space="preserve">Section 1: Why Acquisitions Are Different</w:t>
      </w:r>
    </w:p>
    <w:p>
      <w:pPr>
        <w:pStyle w:val="FirstParagraph"/>
      </w:pPr>
      <w:r>
        <w:t xml:space="preserve">Faleth Capital does not only build businesses from scratch. When an existing business and its owner align with the mission — when the operator wants to build generational wealth through ownership and aligned incentives rather than control and fixed compensation — the family office can acquire that business and bring it into the portfolio.</w:t>
      </w:r>
    </w:p>
    <w:p>
      <w:pPr>
        <w:pStyle w:val="BodyText"/>
      </w:pPr>
      <w:r>
        <w:t xml:space="preserve">But an acquisition is not a founding. A founded subsidiary starts clean. Everyone who joins chose to join. The Contribution Framework is the only system they have ever known inside that business. An acquired company is different. It has people who did not choose this. They chose a job, under a boss, with a paycheck. They may have families relying on that paycheck. They have habits, relationships, and expectations built around a system that is about to change fundamentally.</w:t>
      </w:r>
    </w:p>
    <w:p>
      <w:pPr>
        <w:pStyle w:val="BodyText"/>
      </w:pPr>
      <w:r>
        <w:t xml:space="preserve">If we handle that transition with the same philosophy we bring to everything else — voluntary participation, genuine ownership, transparency, and a real exit for anyone who does not want to be here — the result is a team of people who chose the new system with open eyes. If we handle it carelessly, we get exactly what the traditional model produces: compliance without conviction.</w:t>
      </w:r>
    </w:p>
    <w:p>
      <w:pPr>
        <w:pStyle w:val="BodyText"/>
      </w:pPr>
      <w:r>
        <w:t xml:space="preserve">The principles below govern every acquisition. The timelines, department sequencing, and specific terms are flexible, because every acquisition is different. What does not change is how we treat people through the process.</w:t>
      </w:r>
    </w:p>
    <w:bookmarkEnd w:id="9"/>
    <w:bookmarkStart w:id="10" w:name="section-2-core-principles"/>
    <w:p>
      <w:pPr>
        <w:pStyle w:val="Heading1"/>
      </w:pPr>
      <w:r>
        <w:t xml:space="preserve">Section 2: Core Principles</w:t>
      </w:r>
    </w:p>
    <w:p>
      <w:pPr>
        <w:pStyle w:val="FirstParagraph"/>
      </w:pPr>
      <w:r>
        <w:rPr>
          <w:b/>
          <w:bCs/>
        </w:rPr>
        <w:t xml:space="preserve">No surprises.</w:t>
      </w:r>
      <w:r>
        <w:t xml:space="preserve"> </w:t>
      </w:r>
      <w:r>
        <w:t xml:space="preserve">Every person in the acquired company learns what is happening, why, and what it means for them personally — before anything changes. Not through a memo from new ownership. Through direct, honest conversation.</w:t>
      </w:r>
    </w:p>
    <w:p>
      <w:pPr>
        <w:pStyle w:val="BodyText"/>
      </w:pPr>
      <w:r>
        <w:rPr>
          <w:b/>
          <w:bCs/>
        </w:rPr>
        <w:t xml:space="preserve">Compensation is honored.</w:t>
      </w:r>
      <w:r>
        <w:t xml:space="preserve"> </w:t>
      </w:r>
      <w:r>
        <w:t xml:space="preserve">Existing wages and salaries are maintained as each individual's Minimum Pay Guarantee for the duration of the transition. Nobody takes a pay cut on day one. The floor is set at what they were already earning, and it is non-credited — no advance balance accumulates against future earnings during the transition period.</w:t>
      </w:r>
      <w:r>
        <w:t xml:space="preserve"> </w:t>
      </w:r>
      <w:r>
        <w:rPr>
          <w:i/>
          <w:iCs/>
        </w:rPr>
        <w:t xml:space="preserve">For how the Minimum Pay Guarantee works under normal operations, see Section 2.1 of the Contribution Framework.</w:t>
      </w:r>
    </w:p>
    <w:p>
      <w:pPr>
        <w:pStyle w:val="BodyText"/>
      </w:pPr>
      <w:r>
        <w:rPr>
          <w:b/>
          <w:bCs/>
        </w:rPr>
        <w:t xml:space="preserve">Observation before decision.</w:t>
      </w:r>
      <w:r>
        <w:t xml:space="preserve"> </w:t>
      </w:r>
      <w:r>
        <w:t xml:space="preserve">Every participant is given a genuine opportunity to see the Contribution Framework operating in a live subsidiary before they are asked to work under it. This is not a presentation or a video. It is time spent watching real people do real work in a system where effort visibly determines income.</w:t>
      </w:r>
    </w:p>
    <w:p>
      <w:pPr>
        <w:pStyle w:val="BodyText"/>
      </w:pPr>
      <w:r>
        <w:rPr>
          <w:b/>
          <w:bCs/>
        </w:rPr>
        <w:t xml:space="preserve">Voluntary participation.</w:t>
      </w:r>
      <w:r>
        <w:t xml:space="preserve"> </w:t>
      </w:r>
      <w:r>
        <w:t xml:space="preserve">No one is forced into the new system. Anyone who, after observing and understanding the Contribution Framework, decides it is not for them receives a severance package and departs with dignity. The goal is a team of people who chose to be here. Coerced participation is worse than no participation.</w:t>
      </w:r>
    </w:p>
    <w:p>
      <w:pPr>
        <w:pStyle w:val="BodyText"/>
      </w:pPr>
      <w:r>
        <w:rPr>
          <w:b/>
          <w:bCs/>
        </w:rPr>
        <w:t xml:space="preserve">Phased transition.</w:t>
      </w:r>
      <w:r>
        <w:t xml:space="preserve"> </w:t>
      </w:r>
      <w:r>
        <w:t xml:space="preserve">The business transitions in stages, not all at once. Early participants serve as living proof of concept for those still waiting. The people who transition later have the benefit of watching their colleagues go first and seeing the results with their own eyes.</w:t>
      </w:r>
    </w:p>
    <w:p>
      <w:pPr>
        <w:pStyle w:val="BodyText"/>
      </w:pPr>
      <w:r>
        <w:rPr>
          <w:b/>
          <w:bCs/>
        </w:rPr>
        <w:t xml:space="preserve">The business keeps running.</w:t>
      </w:r>
      <w:r>
        <w:t xml:space="preserve"> </w:t>
      </w:r>
      <w:r>
        <w:t xml:space="preserve">At no point during the transition does the business stop serving its customers or fulfilling its obligations. Operational continuity is non-negotiable. The transition happens around the work, not instead of it.</w:t>
      </w:r>
    </w:p>
    <w:bookmarkEnd w:id="10"/>
    <w:bookmarkStart w:id="16" w:name="section-3-the-transition-sequence"/>
    <w:p>
      <w:pPr>
        <w:pStyle w:val="Heading1"/>
      </w:pPr>
      <w:r>
        <w:t xml:space="preserve">Section 3: The Transition Sequence</w:t>
      </w:r>
    </w:p>
    <w:p>
      <w:pPr>
        <w:pStyle w:val="FirstParagraph"/>
      </w:pPr>
      <w:r>
        <w:t xml:space="preserve">No two acquisitions are identical, and this document does not pretend otherwise. The operational details — sequencing, timing, department order — belong to the subsidiary owner and the office at the time of acquisition. But every transition follows the same general arc.</w:t>
      </w:r>
    </w:p>
    <w:bookmarkStart w:id="11" w:name="phase-one-business-as-usual"/>
    <w:p>
      <w:pPr>
        <w:pStyle w:val="Heading2"/>
      </w:pPr>
      <w:r>
        <w:t xml:space="preserve">3.1 — Phase One: Business as Usual</w:t>
      </w:r>
    </w:p>
    <w:p>
      <w:pPr>
        <w:pStyle w:val="FirstParagraph"/>
      </w:pPr>
      <w:r>
        <w:t xml:space="preserve">The business first continues operating exactly as it did before. No structural changes. No compensation changes. No new systems. Existing managers retain their authority. Existing schedules, processes, and reporting lines remain intact.</w:t>
      </w:r>
    </w:p>
    <w:p>
      <w:pPr>
        <w:pStyle w:val="BodyText"/>
      </w:pPr>
      <w:r>
        <w:t xml:space="preserve">This phase builds trust and gives the new ownership time to understand how the business actually runs: not how the org chart says it runs, but how work actually flows, who makes things happen, and where real value is created. During this phase, the office and subsidiary owner are quietly mapping the business: identifying every process, understanding the cost structure, observing the informal hierarchy, and beginning to design the point system and COF rate that will eventually govern the Contribution Framework for this subsidiary. None of this is visible to the team yet. It is preparation, not implementation.</w:t>
      </w:r>
    </w:p>
    <w:bookmarkEnd w:id="11"/>
    <w:bookmarkStart w:id="13" w:name="phase-two-education-and-observation"/>
    <w:p>
      <w:pPr>
        <w:pStyle w:val="Heading2"/>
      </w:pPr>
      <w:r>
        <w:t xml:space="preserve">3.2 — Phase Two: Education and Observation</w:t>
      </w:r>
    </w:p>
    <w:p>
      <w:pPr>
        <w:pStyle w:val="FirstParagraph"/>
      </w:pPr>
      <w:r>
        <w:t xml:space="preserve">Education comes next. The Contribution Framework is introduced to the entire team — the philosophy, the mechanics, the math. Questions are answered honestly, including the hard ones.</w:t>
      </w:r>
    </w:p>
    <w:p>
      <w:pPr>
        <w:pStyle w:val="BodyText"/>
      </w:pPr>
      <w:r>
        <w:t xml:space="preserve">Then participants are invited — not required — to spend time at a working Faleth Capital subsidiary. They see the dashboard, the point tracking, the weekly payouts, the quarterly profit share. They talk to people who live in the system every day. Documents can explain the system. Only a living subsidiary can prove it works.</w:t>
      </w:r>
    </w:p>
    <w:bookmarkStart w:id="12" w:name="the-opt-out-window"/>
    <w:p>
      <w:pPr>
        <w:pStyle w:val="Heading3"/>
      </w:pPr>
      <w:r>
        <w:t xml:space="preserve">The Opt-Out Window</w:t>
      </w:r>
    </w:p>
    <w:p>
      <w:pPr>
        <w:pStyle w:val="FirstParagraph"/>
      </w:pPr>
      <w:r>
        <w:t xml:space="preserve">At the conclusion of that observation period, every participant makes a genuine choice: transition into the Contribution Framework, or depart with a severance package. The severance is designed to be generous — enough runway for someone to find their next opportunity without desperation. Someone from Faleth Capital will work with them personally to get them into another company, purely at our expense. The specific terms — duration and rate — are set at the time of acquisition based on the size and economics of the business, but the governing principle is that no one should feel financially pressured into staying. The severance is paid at the individual's previous ongoing rate of compensation.</w:t>
      </w:r>
    </w:p>
    <w:p>
      <w:pPr>
        <w:pStyle w:val="BodyText"/>
      </w:pPr>
      <w:r>
        <w:t xml:space="preserve">This is not a cost to be minimized. It is an investment in the integrity and confidence of the team that remains. Every person who leaves is treated with respect, as a person with a family, with goals and dreams of their own. Every person who stays after a real opt-out window is someone who chose to be here.</w:t>
      </w:r>
    </w:p>
    <w:p>
      <w:pPr>
        <w:pStyle w:val="BodyText"/>
      </w:pPr>
      <w:r>
        <w:t xml:space="preserve">Our aim is to set a first-class standard and expectation for how people are to be treated under Faleth Capital.</w:t>
      </w:r>
    </w:p>
    <w:bookmarkEnd w:id="12"/>
    <w:bookmarkEnd w:id="13"/>
    <w:bookmarkStart w:id="14" w:name="Xb3688c06a9c1ccda92a752dfdec6ce79543aa3e"/>
    <w:p>
      <w:pPr>
        <w:pStyle w:val="Heading2"/>
      </w:pPr>
      <w:r>
        <w:t xml:space="preserve">3.3 — Phase Three: Department-by-Department Rollout</w:t>
      </w:r>
    </w:p>
    <w:p>
      <w:pPr>
        <w:pStyle w:val="FirstParagraph"/>
      </w:pPr>
      <w:r>
        <w:t xml:space="preserve">The transition then proceeds in stages, one department or team at a time. The subsidiary owner determines the sequencing based on which teams are best positioned to transition first — typically the teams closest to direct value creation, where the connection between effort and output is most visible and most immediately rewarding.</w:t>
      </w:r>
    </w:p>
    <w:p>
      <w:pPr>
        <w:pStyle w:val="BodyText"/>
      </w:pPr>
      <w:r>
        <w:t xml:space="preserve">As each department transitions:</w:t>
      </w:r>
    </w:p>
    <w:p>
      <w:pPr>
        <w:pStyle w:val="Compact"/>
        <w:numPr>
          <w:ilvl w:val="0"/>
          <w:numId w:val="1001"/>
        </w:numPr>
      </w:pPr>
      <w:r>
        <w:t xml:space="preserve">Existing wages convert to the non-credited Minimum Pay Guarantee.</w:t>
      </w:r>
    </w:p>
    <w:p>
      <w:pPr>
        <w:pStyle w:val="Compact"/>
        <w:numPr>
          <w:ilvl w:val="0"/>
          <w:numId w:val="1001"/>
        </w:numPr>
      </w:pPr>
      <w:r>
        <w:t xml:space="preserve">Processes are mapped and point values are calibrated collaboratively with the team — the same process described in the Contribution Framework's implementation checklist.</w:t>
      </w:r>
    </w:p>
    <w:p>
      <w:pPr>
        <w:pStyle w:val="Compact"/>
        <w:numPr>
          <w:ilvl w:val="0"/>
          <w:numId w:val="1001"/>
        </w:numPr>
      </w:pPr>
      <w:r>
        <w:t xml:space="preserve">The COF rate is set and the team pool begins operating.</w:t>
      </w:r>
    </w:p>
    <w:p>
      <w:pPr>
        <w:pStyle w:val="Compact"/>
        <w:numPr>
          <w:ilvl w:val="0"/>
          <w:numId w:val="1001"/>
        </w:numPr>
      </w:pPr>
      <w:r>
        <w:t xml:space="preserve">Point tracking goes live, and participants can see their earnings in real time.</w:t>
      </w:r>
    </w:p>
    <w:p>
      <w:pPr>
        <w:pStyle w:val="Compact"/>
        <w:numPr>
          <w:ilvl w:val="0"/>
          <w:numId w:val="1001"/>
        </w:numPr>
      </w:pPr>
      <w:r>
        <w:t xml:space="preserve">The first department to transition becomes the proof of concept for every department that follows.</w:t>
      </w:r>
    </w:p>
    <w:p>
      <w:pPr>
        <w:pStyle w:val="FirstParagraph"/>
      </w:pPr>
      <w:r>
        <w:t xml:space="preserve">The non-credited floor is maintained until the team collectively agrees — not until management decrees — that the system is functioning as intended. At that point, the floor converts to the standard credited Minimum Pay Guarantee described in the Contribution Framework.</w:t>
      </w:r>
    </w:p>
    <w:bookmarkEnd w:id="14"/>
    <w:bookmarkStart w:id="15" w:name="phase-four-full-integration"/>
    <w:p>
      <w:pPr>
        <w:pStyle w:val="Heading2"/>
      </w:pPr>
      <w:r>
        <w:t xml:space="preserve">3.4 — Phase Four: Full Integration</w:t>
      </w:r>
    </w:p>
    <w:p>
      <w:pPr>
        <w:pStyle w:val="FirstParagraph"/>
      </w:pPr>
      <w:r>
        <w:t xml:space="preserve">Once all departments have transitioned, the subsidiary operates fully under the Contribution Framework and is integrated into the Faleth Capital portfolio on the same terms as any other subsidiary:</w:t>
      </w:r>
    </w:p>
    <w:p>
      <w:pPr>
        <w:pStyle w:val="Compact"/>
        <w:numPr>
          <w:ilvl w:val="0"/>
          <w:numId w:val="1002"/>
        </w:numPr>
      </w:pPr>
      <w:r>
        <w:t xml:space="preserve">The parent company fee applies (see Section 1 of the Financial Framework).</w:t>
      </w:r>
    </w:p>
    <w:p>
      <w:pPr>
        <w:pStyle w:val="Compact"/>
        <w:numPr>
          <w:ilvl w:val="0"/>
          <w:numId w:val="1002"/>
        </w:numPr>
      </w:pPr>
      <w:r>
        <w:t xml:space="preserve">Quarterly financial reporting feeds into the consolidated office-level calculations.</w:t>
      </w:r>
    </w:p>
    <w:p>
      <w:pPr>
        <w:pStyle w:val="Compact"/>
        <w:numPr>
          <w:ilvl w:val="0"/>
          <w:numId w:val="1002"/>
        </w:numPr>
      </w:pPr>
      <w:r>
        <w:t xml:space="preserve">Participants gain access to the full equity system — subsidiary and office-level profit sharing, Class B share minting, and dividends (see The Equity Framework).</w:t>
      </w:r>
    </w:p>
    <w:p>
      <w:pPr>
        <w:pStyle w:val="Compact"/>
        <w:numPr>
          <w:ilvl w:val="0"/>
          <w:numId w:val="1002"/>
        </w:numPr>
      </w:pPr>
      <w:r>
        <w:t xml:space="preserve">The team elects its first Lead through the standard election process (see Section 5 of the Contribution Framework).</w:t>
      </w:r>
    </w:p>
    <w:p>
      <w:pPr>
        <w:pStyle w:val="Compact"/>
        <w:numPr>
          <w:ilvl w:val="0"/>
          <w:numId w:val="1002"/>
        </w:numPr>
      </w:pPr>
      <w:r>
        <w:t xml:space="preserve">The first quarterly recalibration is scheduled.</w:t>
      </w:r>
    </w:p>
    <w:p>
      <w:pPr>
        <w:pStyle w:val="FirstParagraph"/>
      </w:pPr>
      <w:r>
        <w:t xml:space="preserve">At this point, the subsidiary is no longer an acquired business in transition. It is a Faleth Capital subsidiary, indistinguishable in structure from one that was built from the ground up.</w:t>
      </w:r>
    </w:p>
    <w:bookmarkEnd w:id="15"/>
    <w:bookmarkEnd w:id="16"/>
    <w:bookmarkStart w:id="17" w:name="section-4-the-middle-management-question"/>
    <w:p>
      <w:pPr>
        <w:pStyle w:val="Heading1"/>
      </w:pPr>
      <w:r>
        <w:t xml:space="preserve">Section 4: The Middle Management Question</w:t>
      </w:r>
    </w:p>
    <w:p>
      <w:pPr>
        <w:pStyle w:val="FirstParagraph"/>
      </w:pPr>
      <w:r>
        <w:t xml:space="preserve">Acquisitions surface a structural reality that most organizations avoid naming directly. The Contribution Framework replaces traditional management hierarchy with self-organization, contribution tracking, and elected leadership. For most participants, this is straightforwardly better. For people whose careers were built on managing others in a traditional hierarchy, the transition asks a harder question: what do I produce?</w:t>
      </w:r>
    </w:p>
    <w:p>
      <w:pPr>
        <w:pStyle w:val="BodyText"/>
      </w:pPr>
      <w:r>
        <w:t xml:space="preserve">This is not a judgment. Many middle managers are excellent coordinators, mentors, process designers, and problem solvers. Those skills often translate directly into the Elected Lead role or into high-value indirect processes. Some will discover they were always skilled at direct work and were promoted away from it. The framework gives them a path back with no stigma attached.</w:t>
      </w:r>
    </w:p>
    <w:p>
      <w:pPr>
        <w:pStyle w:val="BodyText"/>
      </w:pPr>
      <w:r>
        <w:t xml:space="preserve">But the framework does not have a role for someone whose sole function is supervising people who would otherwise not work hard enough. That function is replaced by the incentive structure itself. Someone in that position deserves honesty about it — not on day one, when everything feels threatening, but during the observation period, when they can see for themselves what the system does and does not need.</w:t>
      </w:r>
    </w:p>
    <w:p>
      <w:pPr>
        <w:pStyle w:val="BodyText"/>
      </w:pPr>
      <w:r>
        <w:t xml:space="preserve">The observation period is especially important for this group. A middle manager watching a subsidiary operate without traditional management — and watching it operate well — often has one of two reactions. Either they see where they fit and get energized by the possibility, or they recognize that the system does not need what they have been selling and choose to exit with clarity rather than resentment. Both outcomes are better than a person clinging to a title that no longer carries authority, slowly becoming bitter, and eventually poisoning the culture they are supposed to be supporting.</w:t>
      </w:r>
    </w:p>
    <w:p>
      <w:pPr>
        <w:pStyle w:val="BodyText"/>
      </w:pPr>
      <w:r>
        <w:t xml:space="preserve">A generous exit for someone whose role has been structurally dissolved is not charity. It is respect.</w:t>
      </w:r>
    </w:p>
    <w:bookmarkEnd w:id="17"/>
    <w:bookmarkStart w:id="18" w:name="section-5-the-commitments"/>
    <w:p>
      <w:pPr>
        <w:pStyle w:val="Heading1"/>
      </w:pPr>
      <w:r>
        <w:t xml:space="preserve">Section 5: The Commitments</w:t>
      </w:r>
    </w:p>
    <w:p>
      <w:pPr>
        <w:pStyle w:val="FirstParagraph"/>
      </w:pPr>
      <w:r>
        <w:t xml:space="preserve">This framework is not an operational playbook. The specific durations, sequencing, and severance terms are parameters — they depend on the business, its size, its culture, its financial position, and the judgment of those running the transition.</w:t>
      </w:r>
    </w:p>
    <w:p>
      <w:pPr>
        <w:pStyle w:val="BodyText"/>
      </w:pPr>
      <w:r>
        <w:t xml:space="preserve">What does not depend on those things are the commitments Faleth Capital makes to every person inside any business it acquires:</w:t>
      </w:r>
    </w:p>
    <w:p>
      <w:pPr>
        <w:pStyle w:val="Compact"/>
        <w:numPr>
          <w:ilvl w:val="0"/>
          <w:numId w:val="1003"/>
        </w:numPr>
      </w:pPr>
      <w:r>
        <w:t xml:space="preserve">You will not be surprised.</w:t>
      </w:r>
    </w:p>
    <w:p>
      <w:pPr>
        <w:pStyle w:val="Compact"/>
        <w:numPr>
          <w:ilvl w:val="0"/>
          <w:numId w:val="1003"/>
        </w:numPr>
      </w:pPr>
      <w:r>
        <w:t xml:space="preserve">Your existing compensation will be honored.</w:t>
      </w:r>
    </w:p>
    <w:p>
      <w:pPr>
        <w:pStyle w:val="Compact"/>
        <w:numPr>
          <w:ilvl w:val="0"/>
          <w:numId w:val="1003"/>
        </w:numPr>
      </w:pPr>
      <w:r>
        <w:t xml:space="preserve">You will see the new system working before you are asked to work in it.</w:t>
      </w:r>
    </w:p>
    <w:p>
      <w:pPr>
        <w:pStyle w:val="Compact"/>
        <w:numPr>
          <w:ilvl w:val="0"/>
          <w:numId w:val="1003"/>
        </w:numPr>
      </w:pPr>
      <w:r>
        <w:t xml:space="preserve">You will have a real choice, with a real exit, and no penalty for choosing it.</w:t>
      </w:r>
    </w:p>
    <w:p>
      <w:pPr>
        <w:pStyle w:val="Compact"/>
        <w:numPr>
          <w:ilvl w:val="0"/>
          <w:numId w:val="1003"/>
        </w:numPr>
      </w:pPr>
      <w:r>
        <w:t xml:space="preserve">The transition will happen at a pace that respects both the business and the people in it.</w:t>
      </w:r>
    </w:p>
    <w:p>
      <w:pPr>
        <w:pStyle w:val="FirstParagraph"/>
      </w:pPr>
      <w:r>
        <w:t xml:space="preserve">These commitments are non-negotiable. The parameters are flexible. The principles are permanent.</w:t>
      </w:r>
    </w:p>
    <w:p>
      <w:pPr>
        <w:pStyle w:val="BodyText"/>
      </w:pPr>
      <w:r>
        <w:rPr>
          <w:i/>
          <w:iCs/>
        </w:rPr>
        <w:t xml:space="preserve">An acquired business is not a conquered territory. It is a group of people being invited into a better system. The invitation must be genuine, or it is not an invitation at all.</w:t>
      </w:r>
    </w:p>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Acquisition Transition Framework</dc:title>
  <dc:creator/>
  <cp:keywords/>
  <dcterms:created xsi:type="dcterms:W3CDTF">2026-04-17T12:44:40Z</dcterms:created>
  <dcterms:modified xsi:type="dcterms:W3CDTF">2026-04-17T12:44:40Z</dcterms:modified>
</cp:coreProperties>
</file>

<file path=docProps/custom.xml><?xml version="1.0" encoding="utf-8"?>
<Properties xmlns="http://schemas.openxmlformats.org/officeDocument/2006/custom-properties" xmlns:vt="http://schemas.openxmlformats.org/officeDocument/2006/docPropsVTypes"/>
</file>