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10508" w:type="dxa"/>
        <w:jc w:val="center"/>
        <w:tblCellSpacing w:w="0" w:type="dxa"/>
        <w:tblInd w:w="0" w:type="dxa"/>
        <w:tblCellMar>
          <w:left w:w="0" w:type="dxa"/>
          <w:right w:w="0" w:type="dxa"/>
        </w:tblCellMar>
        <w:tblLook w:val="04A0" w:firstRow="1" w:lastRow="0" w:firstColumn="1" w:lastColumn="0" w:noHBand="0" w:noVBand="1"/>
      </w:tblPr>
      <w:tblGrid>
        <w:gridCol w:w="8"/>
        <w:gridCol w:w="442"/>
        <w:gridCol w:w="10058"/>
      </w:tblGrid>
      <w:tr w:rsidR="00146633" w14:paraId="0F807981" w14:textId="77777777" w:rsidTr="00146633">
        <w:trPr>
          <w:gridBefore w:val="1"/>
          <w:wBefore w:w="8" w:type="dxa"/>
          <w:tblCellSpacing w:w="0" w:type="dxa"/>
          <w:jc w:val="center"/>
        </w:trPr>
        <w:tc>
          <w:tcPr>
            <w:tcW w:w="0" w:type="auto"/>
            <w:gridSpan w:val="2"/>
            <w:tcBorders>
              <w:top w:val="single" w:sz="6" w:space="0" w:color="E3E3E3"/>
              <w:left w:val="single" w:sz="6" w:space="0" w:color="E3E3E3"/>
              <w:bottom w:val="single" w:sz="6" w:space="0" w:color="E3E3E3"/>
              <w:right w:val="single" w:sz="6" w:space="0" w:color="E3E3E3"/>
            </w:tcBorders>
            <w:shd w:val="clear" w:color="auto" w:fill="FFFFFF"/>
            <w:tcMar>
              <w:top w:w="300" w:type="dxa"/>
              <w:left w:w="0" w:type="dxa"/>
              <w:bottom w:w="300" w:type="dxa"/>
              <w:right w:w="0" w:type="dxa"/>
            </w:tcMar>
            <w:vAlign w:val="center"/>
            <w:hideMark/>
          </w:tcPr>
          <w:p w14:paraId="365FAD60" w14:textId="77777777" w:rsidR="00146633" w:rsidRPr="00146633" w:rsidRDefault="00146633">
            <w:r>
              <w:rPr>
                <w:rStyle w:val="lev"/>
                <w:rFonts w:ascii="Helvetica" w:eastAsia="Times New Roman" w:hAnsi="Helvetica"/>
                <w:color w:val="666666"/>
                <w:sz w:val="17"/>
                <w:szCs w:val="17"/>
                <w:lang w:val="en-CA" w:eastAsia="en-GB"/>
              </w:rPr>
              <w:fldChar w:fldCharType="begin"/>
            </w:r>
            <w:r w:rsidRPr="00146633">
              <w:rPr>
                <w:rStyle w:val="lev"/>
                <w:rFonts w:ascii="Helvetica" w:eastAsia="Times New Roman" w:hAnsi="Helvetica"/>
                <w:color w:val="666666"/>
                <w:sz w:val="17"/>
                <w:szCs w:val="17"/>
                <w:lang w:eastAsia="en-GB"/>
              </w:rPr>
              <w:instrText xml:space="preserve"> HYPERLINK "https://epl.paypal-communication.com/H/2/v400000168e17e09f7b436786e966f4578/0a486ca1-e35f-4c9a-9a4f-ff2ab84d496d/HTML" \t "_blank" </w:instrText>
            </w:r>
            <w:r>
              <w:rPr>
                <w:rStyle w:val="lev"/>
                <w:rFonts w:ascii="Helvetica" w:eastAsia="Times New Roman" w:hAnsi="Helvetica"/>
                <w:color w:val="666666"/>
                <w:sz w:val="17"/>
                <w:szCs w:val="17"/>
                <w:lang w:val="en-CA" w:eastAsia="en-GB"/>
              </w:rPr>
              <w:fldChar w:fldCharType="separate"/>
            </w:r>
            <w:proofErr w:type="spellStart"/>
            <w:r w:rsidRPr="00146633">
              <w:rPr>
                <w:rStyle w:val="Lienhypertexte"/>
                <w:rFonts w:ascii="Helvetica" w:eastAsia="Times New Roman" w:hAnsi="Helvetica"/>
                <w:b/>
                <w:bCs/>
                <w:color w:val="009CDE"/>
                <w:sz w:val="17"/>
                <w:szCs w:val="17"/>
                <w:lang w:eastAsia="en-GB"/>
              </w:rPr>
              <w:t>Cliqez</w:t>
            </w:r>
            <w:proofErr w:type="spellEnd"/>
            <w:r w:rsidRPr="00146633">
              <w:rPr>
                <w:rStyle w:val="Lienhypertexte"/>
                <w:rFonts w:ascii="Helvetica" w:eastAsia="Times New Roman" w:hAnsi="Helvetica"/>
                <w:b/>
                <w:bCs/>
                <w:color w:val="009CDE"/>
                <w:sz w:val="17"/>
                <w:szCs w:val="17"/>
                <w:lang w:eastAsia="en-GB"/>
              </w:rPr>
              <w:t xml:space="preserve"> ici</w:t>
            </w:r>
            <w:r>
              <w:rPr>
                <w:rStyle w:val="lev"/>
                <w:rFonts w:ascii="Helvetica" w:eastAsia="Times New Roman" w:hAnsi="Helvetica"/>
                <w:color w:val="666666"/>
                <w:sz w:val="17"/>
                <w:szCs w:val="17"/>
                <w:lang w:val="en-CA" w:eastAsia="en-GB"/>
              </w:rPr>
              <w:fldChar w:fldCharType="end"/>
            </w:r>
            <w:r w:rsidRPr="00146633">
              <w:rPr>
                <w:rFonts w:ascii="Helvetica" w:eastAsia="Times New Roman" w:hAnsi="Helvetica"/>
                <w:color w:val="666666"/>
                <w:sz w:val="17"/>
                <w:szCs w:val="17"/>
                <w:lang w:eastAsia="en-GB"/>
              </w:rPr>
              <w:t xml:space="preserve"> pour voir ce courriel en ligne.</w:t>
            </w:r>
          </w:p>
          <w:tbl>
            <w:tblPr>
              <w:tblStyle w:val="TableNormal"/>
              <w:tblW w:w="9900" w:type="dxa"/>
              <w:jc w:val="center"/>
              <w:tblCellSpacing w:w="0" w:type="dxa"/>
              <w:tblInd w:w="0" w:type="dxa"/>
              <w:tblCellMar>
                <w:left w:w="0" w:type="dxa"/>
                <w:right w:w="0" w:type="dxa"/>
              </w:tblCellMar>
              <w:tblLook w:val="04A0" w:firstRow="1" w:lastRow="0" w:firstColumn="1" w:lastColumn="0" w:noHBand="0" w:noVBand="1"/>
            </w:tblPr>
            <w:tblGrid>
              <w:gridCol w:w="9900"/>
            </w:tblGrid>
            <w:tr w:rsidR="00146633" w14:paraId="6548A519" w14:textId="77777777">
              <w:trPr>
                <w:tblCellSpacing w:w="0" w:type="dxa"/>
                <w:jc w:val="center"/>
              </w:trPr>
              <w:tc>
                <w:tcPr>
                  <w:tcW w:w="0" w:type="auto"/>
                  <w:tcMar>
                    <w:top w:w="300" w:type="dxa"/>
                    <w:left w:w="0" w:type="dxa"/>
                    <w:bottom w:w="450" w:type="dxa"/>
                    <w:right w:w="0" w:type="dxa"/>
                  </w:tcMar>
                  <w:hideMark/>
                </w:tcPr>
                <w:p w14:paraId="0F8B1245" w14:textId="77777777" w:rsidR="00146633" w:rsidRDefault="00146633">
                  <w:pPr>
                    <w:spacing w:line="645" w:lineRule="exact"/>
                    <w:jc w:val="center"/>
                    <w:rPr>
                      <w:rFonts w:ascii="Helvetica" w:eastAsia="Times New Roman" w:hAnsi="Helvetica" w:cs="Helvetica"/>
                      <w:color w:val="009CDE"/>
                      <w:sz w:val="60"/>
                      <w:szCs w:val="60"/>
                    </w:rPr>
                  </w:pPr>
                  <w:r>
                    <w:rPr>
                      <w:rFonts w:ascii="Helvetica" w:eastAsia="Times New Roman" w:hAnsi="Helvetica" w:cs="Helvetica"/>
                      <w:color w:val="009CDE"/>
                      <w:sz w:val="60"/>
                      <w:szCs w:val="60"/>
                    </w:rPr>
                    <w:t>Avis de Mises à jour d</w:t>
                  </w:r>
                  <w:r>
                    <w:rPr>
                      <w:rFonts w:ascii="Helvetica" w:eastAsia="Times New Roman" w:hAnsi="Helvetica" w:cs="Helvetica"/>
                      <w:color w:val="009CDE"/>
                      <w:sz w:val="60"/>
                      <w:szCs w:val="60"/>
                    </w:rPr>
                    <w:t>e Sécurité</w:t>
                  </w:r>
                  <w:r>
                    <w:rPr>
                      <w:rFonts w:ascii="Helvetica" w:eastAsia="Times New Roman" w:hAnsi="Helvetica" w:cs="Helvetica"/>
                      <w:color w:val="009CDE"/>
                      <w:sz w:val="60"/>
                      <w:szCs w:val="60"/>
                    </w:rPr>
                    <w:t xml:space="preserve"> </w:t>
                  </w:r>
                </w:p>
              </w:tc>
            </w:tr>
            <w:tr w:rsidR="00146633" w14:paraId="2EFA36D9" w14:textId="77777777">
              <w:trPr>
                <w:tblCellSpacing w:w="0" w:type="dxa"/>
                <w:jc w:val="center"/>
              </w:trPr>
              <w:tc>
                <w:tcPr>
                  <w:tcW w:w="0" w:type="auto"/>
                  <w:tcMar>
                    <w:top w:w="0" w:type="dxa"/>
                    <w:left w:w="0" w:type="dxa"/>
                    <w:bottom w:w="225" w:type="dxa"/>
                    <w:right w:w="0" w:type="dxa"/>
                  </w:tcMar>
                  <w:hideMark/>
                </w:tcPr>
                <w:p w14:paraId="6EB5A7F1" w14:textId="77777777" w:rsidR="00146633" w:rsidRDefault="00146633">
                  <w:pPr>
                    <w:spacing w:line="255" w:lineRule="exact"/>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Bonjour Guillaume Pinard, </w:t>
                  </w:r>
                </w:p>
                <w:p w14:paraId="2EF2AD97" w14:textId="1F21CCAC" w:rsidR="008B162E" w:rsidRDefault="008B162E">
                  <w:pPr>
                    <w:spacing w:line="255" w:lineRule="exact"/>
                    <w:rPr>
                      <w:rFonts w:ascii="Helvetica" w:eastAsia="Times New Roman" w:hAnsi="Helvetica" w:cs="Helvetica"/>
                      <w:color w:val="666666"/>
                      <w:sz w:val="21"/>
                      <w:szCs w:val="21"/>
                    </w:rPr>
                  </w:pPr>
                  <w:bookmarkStart w:id="0" w:name="_GoBack"/>
                  <w:bookmarkEnd w:id="0"/>
                </w:p>
              </w:tc>
            </w:tr>
            <w:tr w:rsidR="00146633" w14:paraId="1C136DBB" w14:textId="77777777">
              <w:trPr>
                <w:tblCellSpacing w:w="0" w:type="dxa"/>
                <w:jc w:val="center"/>
              </w:trPr>
              <w:tc>
                <w:tcPr>
                  <w:tcW w:w="0" w:type="auto"/>
                  <w:hideMark/>
                </w:tcPr>
                <w:p w14:paraId="5016F720" w14:textId="77777777" w:rsidR="00146633" w:rsidRDefault="00146633">
                  <w:pPr>
                    <w:spacing w:line="255" w:lineRule="exact"/>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Nous effectuons quelques modifications à nos Conditions d'utilisation. Ces modifications entreront en vigueur le 28 mars 2019. </w:t>
                  </w:r>
                  <w:r>
                    <w:rPr>
                      <w:rFonts w:ascii="Helvetica" w:eastAsia="Times New Roman" w:hAnsi="Helvetica" w:cs="Helvetica"/>
                      <w:color w:val="666666"/>
                      <w:sz w:val="21"/>
                      <w:szCs w:val="21"/>
                    </w:rPr>
                    <w:t xml:space="preserve">Si vous voulez conservez votre compte veuillez-vous connectez </w:t>
                  </w:r>
                  <w:hyperlink r:id="rId7" w:tgtFrame="_blank" w:history="1">
                    <w:proofErr w:type="spellStart"/>
                    <w:r w:rsidR="00EF0CDC" w:rsidRPr="00146633">
                      <w:rPr>
                        <w:rStyle w:val="Lienhypertexte"/>
                        <w:rFonts w:ascii="Helvetica" w:eastAsia="Times New Roman" w:hAnsi="Helvetica"/>
                        <w:b/>
                        <w:bCs/>
                        <w:color w:val="009CDE"/>
                        <w:sz w:val="17"/>
                        <w:szCs w:val="17"/>
                        <w:lang w:eastAsia="en-GB"/>
                      </w:rPr>
                      <w:t>Cliqez</w:t>
                    </w:r>
                    <w:proofErr w:type="spellEnd"/>
                    <w:r w:rsidR="00EF0CDC" w:rsidRPr="00146633">
                      <w:rPr>
                        <w:rStyle w:val="Lienhypertexte"/>
                        <w:rFonts w:ascii="Helvetica" w:eastAsia="Times New Roman" w:hAnsi="Helvetica"/>
                        <w:b/>
                        <w:bCs/>
                        <w:color w:val="009CDE"/>
                        <w:sz w:val="17"/>
                        <w:szCs w:val="17"/>
                        <w:lang w:eastAsia="en-GB"/>
                      </w:rPr>
                      <w:t xml:space="preserve"> ici</w:t>
                    </w:r>
                  </w:hyperlink>
                </w:p>
              </w:tc>
            </w:tr>
            <w:tr w:rsidR="00146633" w14:paraId="39BB5BF5" w14:textId="77777777">
              <w:trPr>
                <w:tblCellSpacing w:w="0" w:type="dxa"/>
                <w:jc w:val="center"/>
              </w:trPr>
              <w:tc>
                <w:tcPr>
                  <w:tcW w:w="0" w:type="auto"/>
                  <w:tcMar>
                    <w:top w:w="300" w:type="dxa"/>
                    <w:left w:w="0" w:type="dxa"/>
                    <w:bottom w:w="300" w:type="dxa"/>
                    <w:right w:w="0" w:type="dxa"/>
                  </w:tcMar>
                  <w:hideMark/>
                </w:tcPr>
                <w:p w14:paraId="30655003" w14:textId="77777777" w:rsidR="00146633" w:rsidRDefault="00146633">
                  <w:pPr>
                    <w:spacing w:line="255" w:lineRule="exact"/>
                    <w:rPr>
                      <w:rFonts w:ascii="Helvetica" w:eastAsia="Times New Roman" w:hAnsi="Helvetica" w:cs="Helvetica"/>
                      <w:color w:val="666666"/>
                      <w:sz w:val="21"/>
                      <w:szCs w:val="21"/>
                    </w:rPr>
                  </w:pPr>
                  <w:r>
                    <w:rPr>
                      <w:rFonts w:ascii="Helvetica" w:eastAsia="Times New Roman" w:hAnsi="Helvetica" w:cs="Helvetica"/>
                      <w:color w:val="666666"/>
                      <w:sz w:val="21"/>
                      <w:szCs w:val="21"/>
                    </w:rPr>
                    <w:t>Ce que vous verrez dans les conditions d'utilisation mises à jour :</w:t>
                  </w:r>
                </w:p>
              </w:tc>
            </w:tr>
            <w:tr w:rsidR="00146633" w14:paraId="3A3E7939" w14:textId="77777777">
              <w:trPr>
                <w:tblCellSpacing w:w="0" w:type="dxa"/>
                <w:jc w:val="center"/>
              </w:trPr>
              <w:tc>
                <w:tcPr>
                  <w:tcW w:w="0" w:type="auto"/>
                  <w:hideMark/>
                </w:tcPr>
                <w:p w14:paraId="63C389D0" w14:textId="77777777" w:rsidR="00146633" w:rsidRDefault="00146633" w:rsidP="0090061A">
                  <w:pPr>
                    <w:numPr>
                      <w:ilvl w:val="0"/>
                      <w:numId w:val="1"/>
                    </w:numPr>
                    <w:spacing w:before="100" w:beforeAutospacing="1" w:after="100" w:afterAutospacing="1" w:line="255" w:lineRule="exact"/>
                    <w:rPr>
                      <w:rFonts w:ascii="Helvetica" w:eastAsia="Times New Roman" w:hAnsi="Helvetica" w:cs="Helvetica"/>
                      <w:color w:val="666666"/>
                      <w:sz w:val="21"/>
                      <w:szCs w:val="21"/>
                    </w:rPr>
                  </w:pPr>
                  <w:r>
                    <w:rPr>
                      <w:rFonts w:ascii="Helvetica" w:eastAsia="Times New Roman" w:hAnsi="Helvetica" w:cs="Helvetica"/>
                      <w:color w:val="666666"/>
                      <w:sz w:val="21"/>
                      <w:szCs w:val="21"/>
                    </w:rPr>
                    <w:t>Nous avons précisé les modalités de la conversion de devise.</w:t>
                  </w:r>
                </w:p>
                <w:p w14:paraId="5F8AD929" w14:textId="77777777" w:rsidR="00146633" w:rsidRDefault="00146633">
                  <w:pPr>
                    <w:spacing w:line="255" w:lineRule="exact"/>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Modification à la Politique de confidentialité de PayPal : </w:t>
                  </w:r>
                </w:p>
                <w:p w14:paraId="6CB9E99C" w14:textId="77777777" w:rsidR="00146633" w:rsidRDefault="00146633" w:rsidP="0090061A">
                  <w:pPr>
                    <w:numPr>
                      <w:ilvl w:val="0"/>
                      <w:numId w:val="2"/>
                    </w:numPr>
                    <w:spacing w:before="100" w:beforeAutospacing="1" w:after="100" w:afterAutospacing="1" w:line="255" w:lineRule="exact"/>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Nous apportons des modifications à la Politique de confidentialité qui fournit des informations sur la façon dont nous utilisons vos données. </w:t>
                  </w:r>
                </w:p>
                <w:p w14:paraId="3343FF35" w14:textId="77777777" w:rsidR="00146633" w:rsidRDefault="00146633" w:rsidP="0090061A">
                  <w:pPr>
                    <w:numPr>
                      <w:ilvl w:val="0"/>
                      <w:numId w:val="2"/>
                    </w:numPr>
                    <w:spacing w:before="100" w:beforeAutospacing="1" w:after="100" w:afterAutospacing="1" w:line="255" w:lineRule="exact"/>
                    <w:rPr>
                      <w:rFonts w:ascii="Helvetica" w:eastAsia="Times New Roman" w:hAnsi="Helvetica" w:cs="Helvetica"/>
                      <w:color w:val="666666"/>
                      <w:sz w:val="21"/>
                      <w:szCs w:val="21"/>
                    </w:rPr>
                  </w:pPr>
                  <w:r>
                    <w:rPr>
                      <w:rFonts w:ascii="Helvetica" w:eastAsia="Times New Roman" w:hAnsi="Helvetica" w:cs="Helvetica"/>
                      <w:color w:val="666666"/>
                      <w:sz w:val="21"/>
                      <w:szCs w:val="21"/>
                    </w:rPr>
                    <w:t>Nous avons fourni des informations supplémentaires sur la façon dont nous utilisons les données lorsque vous effectuez des transactions avec vos amis, ainsi que plus d'informations sur la façon dont nous utilisons les données afin d'éviter les risques de fraude.</w:t>
                  </w:r>
                </w:p>
                <w:p w14:paraId="52A25FB5" w14:textId="77777777" w:rsidR="00146633" w:rsidRDefault="00146633" w:rsidP="0090061A">
                  <w:pPr>
                    <w:numPr>
                      <w:ilvl w:val="0"/>
                      <w:numId w:val="2"/>
                    </w:numPr>
                    <w:spacing w:before="100" w:beforeAutospacing="1" w:after="100" w:afterAutospacing="1" w:line="255" w:lineRule="exact"/>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Vous pouvez consulter les modifications et la politique de confidentialité actuelle </w:t>
                  </w:r>
                  <w:hyperlink r:id="rId8" w:tgtFrame="_blank" w:history="1">
                    <w:r>
                      <w:rPr>
                        <w:rStyle w:val="Lienhypertexte"/>
                        <w:rFonts w:ascii="Helvetica" w:eastAsia="Times New Roman" w:hAnsi="Helvetica" w:cs="Helvetica"/>
                        <w:color w:val="009CDE"/>
                        <w:sz w:val="21"/>
                        <w:szCs w:val="21"/>
                      </w:rPr>
                      <w:t>ici</w:t>
                    </w:r>
                  </w:hyperlink>
                  <w:r>
                    <w:rPr>
                      <w:rFonts w:ascii="Helvetica" w:eastAsia="Times New Roman" w:hAnsi="Helvetica" w:cs="Helvetica"/>
                      <w:color w:val="666666"/>
                      <w:sz w:val="21"/>
                      <w:szCs w:val="21"/>
                    </w:rPr>
                    <w:t>.</w:t>
                  </w:r>
                </w:p>
              </w:tc>
            </w:tr>
            <w:tr w:rsidR="00146633" w14:paraId="3DE7FB23" w14:textId="77777777">
              <w:trPr>
                <w:tblCellSpacing w:w="0" w:type="dxa"/>
                <w:jc w:val="center"/>
              </w:trPr>
              <w:tc>
                <w:tcPr>
                  <w:tcW w:w="0" w:type="auto"/>
                  <w:tcMar>
                    <w:top w:w="300" w:type="dxa"/>
                    <w:left w:w="0" w:type="dxa"/>
                    <w:bottom w:w="300" w:type="dxa"/>
                    <w:right w:w="0" w:type="dxa"/>
                  </w:tcMar>
                  <w:hideMark/>
                </w:tcPr>
                <w:p w14:paraId="09BD4AB7" w14:textId="77777777" w:rsidR="00146633" w:rsidRDefault="00146633">
                  <w:pPr>
                    <w:spacing w:line="255" w:lineRule="exact"/>
                    <w:rPr>
                      <w:rFonts w:ascii="Helvetica" w:eastAsia="Times New Roman" w:hAnsi="Helvetica" w:cs="Helvetica"/>
                      <w:color w:val="666666"/>
                      <w:sz w:val="21"/>
                      <w:szCs w:val="21"/>
                    </w:rPr>
                  </w:pPr>
                  <w:r>
                    <w:rPr>
                      <w:rFonts w:ascii="Helvetica" w:eastAsia="Times New Roman" w:hAnsi="Helvetica" w:cs="Helvetica"/>
                      <w:color w:val="666666"/>
                      <w:sz w:val="21"/>
                      <w:szCs w:val="21"/>
                    </w:rPr>
                    <w:t>Pour mieux servir nos clients, les conditions d'utilisation suivantes sont disponibles :</w:t>
                  </w:r>
                </w:p>
              </w:tc>
            </w:tr>
            <w:tr w:rsidR="00146633" w14:paraId="3A0B2AEF" w14:textId="77777777">
              <w:trPr>
                <w:tblCellSpacing w:w="0" w:type="dxa"/>
                <w:jc w:val="center"/>
              </w:trPr>
              <w:tc>
                <w:tcPr>
                  <w:tcW w:w="0" w:type="auto"/>
                  <w:hideMark/>
                </w:tcPr>
                <w:p w14:paraId="079A5173" w14:textId="77777777" w:rsidR="00146633" w:rsidRDefault="00146633" w:rsidP="0090061A">
                  <w:pPr>
                    <w:numPr>
                      <w:ilvl w:val="0"/>
                      <w:numId w:val="3"/>
                    </w:numPr>
                    <w:spacing w:before="100" w:beforeAutospacing="1" w:after="100" w:afterAutospacing="1" w:line="255" w:lineRule="exact"/>
                    <w:rPr>
                      <w:rFonts w:ascii="Helvetica" w:eastAsia="Times New Roman" w:hAnsi="Helvetica" w:cs="Helvetica"/>
                      <w:color w:val="666666"/>
                      <w:sz w:val="21"/>
                      <w:szCs w:val="21"/>
                    </w:rPr>
                  </w:pPr>
                  <w:hyperlink r:id="rId9" w:tgtFrame="_blank" w:history="1">
                    <w:r>
                      <w:rPr>
                        <w:rStyle w:val="Lienhypertexte"/>
                        <w:rFonts w:ascii="Helvetica" w:eastAsia="Times New Roman" w:hAnsi="Helvetica" w:cs="Helvetica"/>
                        <w:color w:val="009CDE"/>
                        <w:sz w:val="21"/>
                        <w:szCs w:val="21"/>
                      </w:rPr>
                      <w:t>Conditions relatives aux modes de paiement locaux de PayPal</w:t>
                    </w:r>
                  </w:hyperlink>
                </w:p>
                <w:p w14:paraId="46335330" w14:textId="77777777" w:rsidR="00146633" w:rsidRDefault="00146633" w:rsidP="0090061A">
                  <w:pPr>
                    <w:numPr>
                      <w:ilvl w:val="1"/>
                      <w:numId w:val="3"/>
                    </w:numPr>
                    <w:spacing w:before="100" w:beforeAutospacing="1" w:after="100" w:afterAutospacing="1" w:line="255" w:lineRule="exact"/>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Rappel pour les marchands qui utilisent PayPal pour recevoir des paiements pour des transactions commerciales : le 11 décembre 2018, PayPal a commencé à permettre à certains clients ne disposant pas de comptes à envoyer des paiements à des comptes de marchands à l'aide de modes de paiement locaux. </w:t>
                  </w:r>
                </w:p>
              </w:tc>
            </w:tr>
            <w:tr w:rsidR="00146633" w14:paraId="5BC1E855" w14:textId="77777777">
              <w:trPr>
                <w:tblCellSpacing w:w="0" w:type="dxa"/>
                <w:jc w:val="center"/>
              </w:trPr>
              <w:tc>
                <w:tcPr>
                  <w:tcW w:w="0" w:type="auto"/>
                  <w:hideMark/>
                </w:tcPr>
                <w:p w14:paraId="597AEC23" w14:textId="77777777" w:rsidR="00146633" w:rsidRDefault="00146633">
                  <w:pPr>
                    <w:spacing w:line="255" w:lineRule="exact"/>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Nous sommes heureux de vous compter parmi nos clients. </w:t>
                  </w:r>
                  <w:r>
                    <w:rPr>
                      <w:rFonts w:ascii="Helvetica" w:eastAsia="Times New Roman" w:hAnsi="Helvetica" w:cs="Helvetica"/>
                      <w:color w:val="666666"/>
                      <w:sz w:val="21"/>
                      <w:szCs w:val="21"/>
                    </w:rPr>
                    <w:br/>
                  </w:r>
                  <w:r>
                    <w:rPr>
                      <w:rFonts w:ascii="Helvetica" w:eastAsia="Times New Roman" w:hAnsi="Helvetica" w:cs="Helvetica"/>
                      <w:color w:val="666666"/>
                      <w:sz w:val="21"/>
                      <w:szCs w:val="21"/>
                    </w:rPr>
                    <w:br/>
                    <w:t xml:space="preserve">Cordialement, </w:t>
                  </w:r>
                  <w:r>
                    <w:rPr>
                      <w:rFonts w:ascii="Helvetica" w:eastAsia="Times New Roman" w:hAnsi="Helvetica" w:cs="Helvetica"/>
                      <w:color w:val="666666"/>
                      <w:sz w:val="21"/>
                      <w:szCs w:val="21"/>
                    </w:rPr>
                    <w:br/>
                    <w:t xml:space="preserve">PayPal </w:t>
                  </w:r>
                </w:p>
              </w:tc>
            </w:tr>
          </w:tbl>
          <w:p w14:paraId="38FAFB1E" w14:textId="77777777" w:rsidR="00146633" w:rsidRDefault="00146633">
            <w:pPr>
              <w:jc w:val="center"/>
            </w:pPr>
          </w:p>
        </w:tc>
      </w:tr>
      <w:tr w:rsidR="00146633" w14:paraId="57DF03C4" w14:textId="77777777" w:rsidTr="00146633">
        <w:trPr>
          <w:tblCellSpacing w:w="0" w:type="dxa"/>
          <w:jc w:val="center"/>
        </w:trPr>
        <w:tc>
          <w:tcPr>
            <w:tcW w:w="450" w:type="dxa"/>
            <w:gridSpan w:val="2"/>
            <w:vAlign w:val="center"/>
            <w:hideMark/>
          </w:tcPr>
          <w:p w14:paraId="4EC207E7" w14:textId="77777777" w:rsidR="00146633" w:rsidRDefault="00146633">
            <w:pPr>
              <w:rPr>
                <w:rFonts w:eastAsia="Times New Roman"/>
              </w:rPr>
            </w:pPr>
          </w:p>
        </w:tc>
        <w:tc>
          <w:tcPr>
            <w:tcW w:w="0" w:type="auto"/>
            <w:tcMar>
              <w:top w:w="150" w:type="dxa"/>
              <w:left w:w="0" w:type="dxa"/>
              <w:bottom w:w="150" w:type="dxa"/>
              <w:right w:w="0" w:type="dxa"/>
            </w:tcMar>
            <w:vAlign w:val="center"/>
            <w:hideMark/>
          </w:tcPr>
          <w:p w14:paraId="04B6120C" w14:textId="77777777" w:rsidR="00146633" w:rsidRDefault="00146633">
            <w:pPr>
              <w:rPr>
                <w:rFonts w:ascii="Helvetica" w:eastAsia="Times New Roman" w:hAnsi="Helvetica" w:cs="Calibri"/>
                <w:color w:val="8C8C8C"/>
                <w:sz w:val="17"/>
                <w:szCs w:val="17"/>
              </w:rPr>
            </w:pPr>
            <w:r>
              <w:rPr>
                <w:rFonts w:ascii="Helvetica" w:eastAsia="Times New Roman" w:hAnsi="Helvetica" w:cs="Helvetica"/>
                <w:color w:val="8C8C8C"/>
                <w:sz w:val="17"/>
                <w:szCs w:val="17"/>
              </w:rPr>
              <w:t xml:space="preserve">Ce courriel a été envoyé à guiguip@hotmail.ca, pour le soutien et l'entretien continus de votre compte. </w:t>
            </w:r>
            <w:r>
              <w:rPr>
                <w:rFonts w:ascii="Helvetica" w:eastAsia="Times New Roman" w:hAnsi="Helvetica" w:cs="Helvetica"/>
                <w:color w:val="8C8C8C"/>
                <w:sz w:val="17"/>
                <w:szCs w:val="17"/>
              </w:rPr>
              <w:br/>
            </w:r>
            <w:r>
              <w:rPr>
                <w:rFonts w:ascii="Helvetica" w:eastAsia="Times New Roman" w:hAnsi="Helvetica" w:cs="Helvetica"/>
                <w:color w:val="8C8C8C"/>
                <w:sz w:val="17"/>
                <w:szCs w:val="17"/>
              </w:rPr>
              <w:br/>
              <w:t xml:space="preserve">Pour gérer vos préférences de communications, veuillez consulter notre </w:t>
            </w:r>
            <w:hyperlink r:id="rId10" w:tgtFrame="_blank" w:history="1">
              <w:r>
                <w:rPr>
                  <w:rStyle w:val="Lienhypertexte"/>
                  <w:rFonts w:ascii="Helvetica" w:eastAsia="Times New Roman" w:hAnsi="Helvetica" w:cs="Helvetica"/>
                  <w:color w:val="0A3D7B"/>
                  <w:sz w:val="15"/>
                  <w:szCs w:val="15"/>
                </w:rPr>
                <w:t>centre de préférences</w:t>
              </w:r>
            </w:hyperlink>
            <w:r>
              <w:rPr>
                <w:rFonts w:ascii="Helvetica" w:eastAsia="Times New Roman" w:hAnsi="Helvetica" w:cs="Helvetica"/>
                <w:color w:val="8C8C8C"/>
                <w:sz w:val="17"/>
                <w:szCs w:val="17"/>
              </w:rPr>
              <w:t xml:space="preserve">. </w:t>
            </w:r>
            <w:r>
              <w:rPr>
                <w:rFonts w:ascii="Helvetica" w:eastAsia="Times New Roman" w:hAnsi="Helvetica" w:cs="Helvetica"/>
                <w:color w:val="8C8C8C"/>
                <w:sz w:val="17"/>
                <w:szCs w:val="17"/>
              </w:rPr>
              <w:br/>
            </w:r>
            <w:r>
              <w:rPr>
                <w:rFonts w:ascii="Helvetica" w:eastAsia="Times New Roman" w:hAnsi="Helvetica" w:cs="Helvetica"/>
                <w:color w:val="8C8C8C"/>
                <w:sz w:val="17"/>
                <w:szCs w:val="17"/>
              </w:rPr>
              <w:br/>
              <w:t>Veuillez ne pas répondre à ce courriel. Nous ne pouvons pas répondre aux questions envoyées à cette adresse. Pour des réponses immédiates à vos questions, consultez notre Aide en cliquant sur Aide sur toute page du site ou courriel PayPal.</w:t>
            </w:r>
            <w:r>
              <w:rPr>
                <w:rFonts w:ascii="Helvetica" w:eastAsia="Times New Roman" w:hAnsi="Helvetica" w:cs="Helvetica"/>
                <w:color w:val="8C8C8C"/>
                <w:sz w:val="17"/>
                <w:szCs w:val="17"/>
              </w:rPr>
              <w:br/>
            </w:r>
            <w:r>
              <w:rPr>
                <w:rFonts w:ascii="Helvetica" w:eastAsia="Times New Roman" w:hAnsi="Helvetica" w:cs="Helvetica"/>
                <w:color w:val="8C8C8C"/>
                <w:sz w:val="17"/>
                <w:szCs w:val="17"/>
              </w:rPr>
              <w:br/>
              <w:t xml:space="preserve">PayPal s'engage à protéger votre vie privée. En savoir plus sur notre </w:t>
            </w:r>
            <w:hyperlink r:id="rId11" w:tgtFrame="_blank" w:history="1">
              <w:r>
                <w:rPr>
                  <w:rStyle w:val="Lienhypertexte"/>
                  <w:rFonts w:ascii="Helvetica" w:eastAsia="Times New Roman" w:hAnsi="Helvetica" w:cs="Helvetica"/>
                  <w:color w:val="0A3D7B"/>
                  <w:sz w:val="15"/>
                  <w:szCs w:val="15"/>
                </w:rPr>
                <w:t>règlement sur le respect de la vie privée</w:t>
              </w:r>
            </w:hyperlink>
            <w:r>
              <w:rPr>
                <w:rFonts w:ascii="Helvetica" w:eastAsia="Times New Roman" w:hAnsi="Helvetica" w:cs="Helvetica"/>
                <w:color w:val="8C8C8C"/>
                <w:sz w:val="17"/>
                <w:szCs w:val="17"/>
              </w:rPr>
              <w:t>.</w:t>
            </w:r>
            <w:r>
              <w:rPr>
                <w:rFonts w:ascii="Helvetica" w:eastAsia="Times New Roman" w:hAnsi="Helvetica" w:cs="Helvetica"/>
                <w:color w:val="8C8C8C"/>
                <w:sz w:val="17"/>
                <w:szCs w:val="17"/>
              </w:rPr>
              <w:br/>
            </w:r>
            <w:r>
              <w:rPr>
                <w:rFonts w:ascii="Helvetica" w:eastAsia="Times New Roman" w:hAnsi="Helvetica" w:cs="Helvetica"/>
                <w:color w:val="8C8C8C"/>
                <w:sz w:val="17"/>
                <w:szCs w:val="17"/>
              </w:rPr>
              <w:br/>
              <w:t xml:space="preserve">Copyright © 2019 PayPal Canada Co. 661 </w:t>
            </w:r>
            <w:proofErr w:type="spellStart"/>
            <w:r>
              <w:rPr>
                <w:rFonts w:ascii="Helvetica" w:eastAsia="Times New Roman" w:hAnsi="Helvetica" w:cs="Helvetica"/>
                <w:color w:val="8C8C8C"/>
                <w:sz w:val="17"/>
                <w:szCs w:val="17"/>
              </w:rPr>
              <w:t>University</w:t>
            </w:r>
            <w:proofErr w:type="spellEnd"/>
            <w:r>
              <w:rPr>
                <w:rFonts w:ascii="Helvetica" w:eastAsia="Times New Roman" w:hAnsi="Helvetica" w:cs="Helvetica"/>
                <w:color w:val="8C8C8C"/>
                <w:sz w:val="17"/>
                <w:szCs w:val="17"/>
              </w:rPr>
              <w:t xml:space="preserve"> Ave, Toronto, ON M5G 1M1. Tous droits réservés. </w:t>
            </w:r>
          </w:p>
        </w:tc>
      </w:tr>
    </w:tbl>
    <w:p w14:paraId="21A052E4" w14:textId="77777777" w:rsidR="0000053C" w:rsidRDefault="008B162E"/>
    <w:sectPr w:rsidR="0000053C">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07786" w14:textId="77777777" w:rsidR="00146633" w:rsidRDefault="00146633" w:rsidP="00146633">
      <w:r>
        <w:separator/>
      </w:r>
    </w:p>
  </w:endnote>
  <w:endnote w:type="continuationSeparator" w:id="0">
    <w:p w14:paraId="5E29DAF5" w14:textId="77777777" w:rsidR="00146633" w:rsidRDefault="00146633" w:rsidP="0014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FF053" w14:textId="77777777" w:rsidR="00146633" w:rsidRDefault="00146633" w:rsidP="00146633">
      <w:r>
        <w:separator/>
      </w:r>
    </w:p>
  </w:footnote>
  <w:footnote w:type="continuationSeparator" w:id="0">
    <w:p w14:paraId="3E782E27" w14:textId="77777777" w:rsidR="00146633" w:rsidRDefault="00146633" w:rsidP="00146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CC519" w14:textId="77777777" w:rsidR="00146633" w:rsidRDefault="00146633">
    <w:pPr>
      <w:pStyle w:val="En-tte"/>
    </w:pPr>
    <w:r w:rsidRPr="00146633">
      <w:t>To: guiguip@hotmail.ca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56D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625A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05B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33"/>
    <w:rsid w:val="00146633"/>
    <w:rsid w:val="008B162E"/>
    <w:rsid w:val="00E8500F"/>
    <w:rsid w:val="00EF0CDC"/>
    <w:rsid w:val="00FD02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2853"/>
  <w15:chartTrackingRefBased/>
  <w15:docId w15:val="{AA4C2A59-5903-4378-9D7A-A9E7832C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633"/>
    <w:pPr>
      <w:spacing w:after="0" w:line="240" w:lineRule="auto"/>
    </w:pPr>
    <w:rPr>
      <w:rFonts w:eastAsiaTheme="minorEastAsia"/>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46633"/>
    <w:rPr>
      <w:color w:val="0000FF"/>
      <w:u w:val="single"/>
    </w:rPr>
  </w:style>
  <w:style w:type="table" w:customStyle="1" w:styleId="TableNormal">
    <w:name w:val="Table Normal"/>
    <w:uiPriority w:val="99"/>
    <w:semiHidden/>
    <w:rsid w:val="00146633"/>
    <w:pPr>
      <w:spacing w:after="0" w:line="240" w:lineRule="auto"/>
    </w:pPr>
    <w:rPr>
      <w:rFonts w:eastAsiaTheme="minorEastAsia"/>
      <w:lang w:eastAsia="fr-CA"/>
    </w:rPr>
    <w:tblPr>
      <w:tblCellMar>
        <w:top w:w="0" w:type="dxa"/>
        <w:left w:w="108" w:type="dxa"/>
        <w:bottom w:w="0" w:type="dxa"/>
        <w:right w:w="108" w:type="dxa"/>
      </w:tblCellMar>
    </w:tblPr>
  </w:style>
  <w:style w:type="character" w:styleId="lev">
    <w:name w:val="Strong"/>
    <w:basedOn w:val="Policepardfaut"/>
    <w:uiPriority w:val="22"/>
    <w:qFormat/>
    <w:rsid w:val="00146633"/>
    <w:rPr>
      <w:b/>
      <w:bCs/>
    </w:rPr>
  </w:style>
  <w:style w:type="paragraph" w:styleId="En-tte">
    <w:name w:val="header"/>
    <w:basedOn w:val="Normal"/>
    <w:link w:val="En-tteCar"/>
    <w:uiPriority w:val="99"/>
    <w:unhideWhenUsed/>
    <w:rsid w:val="00146633"/>
    <w:pPr>
      <w:tabs>
        <w:tab w:val="center" w:pos="4320"/>
        <w:tab w:val="right" w:pos="8640"/>
      </w:tabs>
    </w:pPr>
  </w:style>
  <w:style w:type="character" w:customStyle="1" w:styleId="En-tteCar">
    <w:name w:val="En-tête Car"/>
    <w:basedOn w:val="Policepardfaut"/>
    <w:link w:val="En-tte"/>
    <w:uiPriority w:val="99"/>
    <w:rsid w:val="00146633"/>
    <w:rPr>
      <w:rFonts w:eastAsiaTheme="minorEastAsia"/>
      <w:lang w:eastAsia="fr-CA"/>
    </w:rPr>
  </w:style>
  <w:style w:type="paragraph" w:styleId="Pieddepage">
    <w:name w:val="footer"/>
    <w:basedOn w:val="Normal"/>
    <w:link w:val="PieddepageCar"/>
    <w:uiPriority w:val="99"/>
    <w:unhideWhenUsed/>
    <w:rsid w:val="00146633"/>
    <w:pPr>
      <w:tabs>
        <w:tab w:val="center" w:pos="4320"/>
        <w:tab w:val="right" w:pos="8640"/>
      </w:tabs>
    </w:pPr>
  </w:style>
  <w:style w:type="character" w:customStyle="1" w:styleId="PieddepageCar">
    <w:name w:val="Pied de page Car"/>
    <w:basedOn w:val="Policepardfaut"/>
    <w:link w:val="Pieddepage"/>
    <w:uiPriority w:val="99"/>
    <w:rsid w:val="00146633"/>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71928">
      <w:bodyDiv w:val="1"/>
      <w:marLeft w:val="0"/>
      <w:marRight w:val="0"/>
      <w:marTop w:val="0"/>
      <w:marBottom w:val="0"/>
      <w:divBdr>
        <w:top w:val="none" w:sz="0" w:space="0" w:color="auto"/>
        <w:left w:val="none" w:sz="0" w:space="0" w:color="auto"/>
        <w:bottom w:val="none" w:sz="0" w:space="0" w:color="auto"/>
        <w:right w:val="none" w:sz="0" w:space="0" w:color="auto"/>
      </w:divBdr>
    </w:div>
    <w:div w:id="10592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l.paypal-communication.com/T/v400000168e17e09f7b436786e966f4578/0a486ca1e35f4c9a0000021ef3a0bcc5/0a486ca1-e35f-4c9a-9a4f-ff2ab84d496d?__dU__=v0oQlZ2XmHtXgxjjiWvqAt6oUbloqyA_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pl.paypal-communication.com/H/2/v400000168e17e09f7b436786e966f4578/0a486ca1-e35f-4c9a-9a4f-ff2ab84d496d/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l.paypal-communication.com/T/v400000168e17e09f7b436786e966f4578/0a486ca1e35f4c9a0000021ef3a0bcc8/0a486ca1-e35f-4c9a-9a4f-ff2ab84d496d?__dU__=v0oQlZ2XmHtXgxjjiWvqAt6oUbloqyA_uK" TargetMode="External"/><Relationship Id="rId5" Type="http://schemas.openxmlformats.org/officeDocument/2006/relationships/footnotes" Target="footnotes.xml"/><Relationship Id="rId10" Type="http://schemas.openxmlformats.org/officeDocument/2006/relationships/hyperlink" Target="https://epl.paypal-communication.com/T/v400000168e17e09f7b436786e966f4578/0a486ca1e35f4c9a0000021ef3a0bcc7/0a486ca1-e35f-4c9a-9a4f-ff2ab84d496d?__dU__=v0oQlZ2XmHtXgxjjiWvqAt6oUbloqyA_uK" TargetMode="External"/><Relationship Id="rId4" Type="http://schemas.openxmlformats.org/officeDocument/2006/relationships/webSettings" Target="webSettings.xml"/><Relationship Id="rId9" Type="http://schemas.openxmlformats.org/officeDocument/2006/relationships/hyperlink" Target="https://epl.paypal-communication.com/T/v400000168e17e09f7b436786e966f4578/0a486ca1e35f4c9a0000021ef3a0bcc6/0a486ca1-e35f-4c9a-9a4f-ff2ab84d496d?__dU__=v0oQlZ2XmHtXgxjjiWvqAt6oUbloqyA_uK"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513</Words>
  <Characters>2822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pinard</dc:creator>
  <cp:keywords/>
  <dc:description/>
  <cp:lastModifiedBy>guillaume pinard</cp:lastModifiedBy>
  <cp:revision>2</cp:revision>
  <dcterms:created xsi:type="dcterms:W3CDTF">2019-05-08T17:33:00Z</dcterms:created>
  <dcterms:modified xsi:type="dcterms:W3CDTF">2019-05-08T17:47:00Z</dcterms:modified>
</cp:coreProperties>
</file>