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663" w:rsidRDefault="00C97A33">
      <w:pPr>
        <w:pStyle w:val="Titre"/>
      </w:pPr>
      <w:bookmarkStart w:id="0" w:name="_Toc503184008"/>
      <w:r>
        <w:t xml:space="preserve">RACK </w:t>
      </w:r>
      <w:r w:rsidR="00A4289F">
        <w:t>IDEFIX</w:t>
      </w:r>
      <w:bookmarkEnd w:id="0"/>
    </w:p>
    <w:p w:rsidR="002C6198" w:rsidRDefault="002C6198" w:rsidP="002C6198"/>
    <w:p w:rsidR="002C6198" w:rsidRDefault="00D1339B" w:rsidP="002C6198">
      <w:r>
        <w:rPr>
          <w:noProof/>
          <w:lang w:val="fr-CH" w:eastAsia="fr-CH"/>
        </w:rPr>
        <w:drawing>
          <wp:inline distT="0" distB="0" distL="0" distR="0">
            <wp:extent cx="1638300" cy="1333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fix tex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="Times New Roman" w:hAnsiTheme="minorHAnsi" w:cs="Times New Roman"/>
          <w:color w:val="auto"/>
          <w:sz w:val="24"/>
          <w:szCs w:val="20"/>
          <w:lang w:val="fr-FR" w:eastAsia="fr-FR"/>
        </w:rPr>
        <w:id w:val="-1440294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7A33" w:rsidRDefault="00C97A3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A193F" w:rsidRDefault="00C97A33">
          <w:pPr>
            <w:pStyle w:val="TM1"/>
            <w:tabs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4008" w:history="1">
            <w:r w:rsidR="004A193F" w:rsidRPr="000E24E0">
              <w:rPr>
                <w:rStyle w:val="Lienhypertexte"/>
                <w:noProof/>
              </w:rPr>
              <w:t>RACK IDEFIX</w:t>
            </w:r>
            <w:r w:rsidR="004A193F">
              <w:rPr>
                <w:noProof/>
                <w:webHidden/>
              </w:rPr>
              <w:tab/>
            </w:r>
            <w:r w:rsidR="004A193F">
              <w:rPr>
                <w:noProof/>
                <w:webHidden/>
              </w:rPr>
              <w:fldChar w:fldCharType="begin"/>
            </w:r>
            <w:r w:rsidR="004A193F">
              <w:rPr>
                <w:noProof/>
                <w:webHidden/>
              </w:rPr>
              <w:instrText xml:space="preserve"> PAGEREF _Toc503184008 \h </w:instrText>
            </w:r>
            <w:r w:rsidR="004A193F">
              <w:rPr>
                <w:noProof/>
                <w:webHidden/>
              </w:rPr>
            </w:r>
            <w:r w:rsidR="004A193F">
              <w:rPr>
                <w:noProof/>
                <w:webHidden/>
              </w:rPr>
              <w:fldChar w:fldCharType="separate"/>
            </w:r>
            <w:r w:rsidR="004A193F">
              <w:rPr>
                <w:noProof/>
                <w:webHidden/>
              </w:rPr>
              <w:t>1</w:t>
            </w:r>
            <w:r w:rsidR="004A193F">
              <w:rPr>
                <w:noProof/>
                <w:webHidden/>
              </w:rPr>
              <w:fldChar w:fldCharType="end"/>
            </w:r>
          </w:hyperlink>
        </w:p>
        <w:p w:rsidR="004A193F" w:rsidRDefault="004A193F">
          <w:pPr>
            <w:pStyle w:val="TM1"/>
            <w:tabs>
              <w:tab w:val="left" w:pos="48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503184009" w:history="1">
            <w:r w:rsidRPr="000E24E0">
              <w:rPr>
                <w:rStyle w:val="Lienhypertexte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E24E0">
              <w:rPr>
                <w:rStyle w:val="Lienhypertexte"/>
                <w:noProof/>
              </w:rPr>
              <w:t>Schéma du rack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93F" w:rsidRDefault="004A193F">
          <w:pPr>
            <w:pStyle w:val="TM1"/>
            <w:tabs>
              <w:tab w:val="left" w:pos="48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503184010" w:history="1">
            <w:r w:rsidRPr="000E24E0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E24E0">
              <w:rPr>
                <w:rStyle w:val="Lienhypertexte"/>
                <w:noProof/>
              </w:rPr>
              <w:t>Plan d’adressage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93F" w:rsidRDefault="004A193F">
          <w:pPr>
            <w:pStyle w:val="TM1"/>
            <w:tabs>
              <w:tab w:val="left" w:pos="48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503184011" w:history="1">
            <w:r w:rsidRPr="000E24E0">
              <w:rPr>
                <w:rStyle w:val="Lienhypertexte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E24E0">
              <w:rPr>
                <w:rStyle w:val="Lienhypertexte"/>
                <w:noProof/>
              </w:rPr>
              <w:t>Switch KVM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93F" w:rsidRDefault="004A193F">
          <w:pPr>
            <w:pStyle w:val="TM1"/>
            <w:tabs>
              <w:tab w:val="left" w:pos="48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503184012" w:history="1">
            <w:r w:rsidRPr="000E24E0">
              <w:rPr>
                <w:rStyle w:val="Lienhypertexte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E24E0">
              <w:rPr>
                <w:rStyle w:val="Lienhypertexte"/>
                <w:noProof/>
              </w:rPr>
              <w:t>Serveurs 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93F" w:rsidRDefault="004A193F">
          <w:pPr>
            <w:pStyle w:val="TM2"/>
            <w:tabs>
              <w:tab w:val="left" w:pos="88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503184013" w:history="1">
            <w:r w:rsidRPr="000E24E0">
              <w:rPr>
                <w:rStyle w:val="Lienhypertexte"/>
                <w:noProof/>
              </w:rPr>
              <w:t>4.1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E24E0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93F" w:rsidRDefault="004A193F">
          <w:pPr>
            <w:pStyle w:val="TM2"/>
            <w:tabs>
              <w:tab w:val="left" w:pos="88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503184014" w:history="1">
            <w:r w:rsidRPr="000E24E0">
              <w:rPr>
                <w:rStyle w:val="Lienhypertexte"/>
                <w:noProof/>
              </w:rPr>
              <w:t>4.2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E24E0">
              <w:rPr>
                <w:rStyle w:val="Lienhypertexte"/>
                <w:noProof/>
              </w:rPr>
              <w:t>Question pour les élèves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93F" w:rsidRDefault="004A193F">
          <w:pPr>
            <w:pStyle w:val="TM2"/>
            <w:tabs>
              <w:tab w:val="left" w:pos="88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503184015" w:history="1">
            <w:r w:rsidRPr="000E24E0">
              <w:rPr>
                <w:rStyle w:val="Lienhypertexte"/>
                <w:noProof/>
              </w:rPr>
              <w:t>4.3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E24E0">
              <w:rPr>
                <w:rStyle w:val="Lienhypertexte"/>
                <w:noProof/>
              </w:rPr>
              <w:t>Port 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93F" w:rsidRDefault="004A193F">
          <w:pPr>
            <w:pStyle w:val="TM2"/>
            <w:tabs>
              <w:tab w:val="left" w:pos="88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503184016" w:history="1">
            <w:r w:rsidRPr="000E24E0">
              <w:rPr>
                <w:rStyle w:val="Lienhypertexte"/>
                <w:noProof/>
              </w:rPr>
              <w:t>4.4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E24E0">
              <w:rPr>
                <w:rStyle w:val="Lienhypertexte"/>
                <w:noProof/>
              </w:rPr>
              <w:t>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93F" w:rsidRDefault="004A193F">
          <w:pPr>
            <w:pStyle w:val="TM2"/>
            <w:tabs>
              <w:tab w:val="left" w:pos="88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503184017" w:history="1">
            <w:r w:rsidRPr="000E24E0">
              <w:rPr>
                <w:rStyle w:val="Lienhypertexte"/>
                <w:noProof/>
              </w:rPr>
              <w:t>4.5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E24E0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93F" w:rsidRDefault="004A193F">
          <w:pPr>
            <w:pStyle w:val="TM2"/>
            <w:tabs>
              <w:tab w:val="left" w:pos="88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503184018" w:history="1">
            <w:r w:rsidRPr="000E24E0">
              <w:rPr>
                <w:rStyle w:val="Lienhypertexte"/>
                <w:noProof/>
              </w:rPr>
              <w:t>4.6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E24E0">
              <w:rPr>
                <w:rStyle w:val="Lienhypertexte"/>
                <w:noProof/>
              </w:rPr>
              <w:t>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93F" w:rsidRDefault="004A193F">
          <w:pPr>
            <w:pStyle w:val="TM2"/>
            <w:tabs>
              <w:tab w:val="left" w:pos="88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503184019" w:history="1">
            <w:r w:rsidRPr="000E24E0">
              <w:rPr>
                <w:rStyle w:val="Lienhypertexte"/>
                <w:noProof/>
              </w:rPr>
              <w:t>4.7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E24E0">
              <w:rPr>
                <w:rStyle w:val="Lienhypertexte"/>
                <w:noProof/>
              </w:rPr>
              <w:t>Détails de la procédure d’effacement du 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93F" w:rsidRDefault="004A193F">
          <w:pPr>
            <w:pStyle w:val="TM1"/>
            <w:tabs>
              <w:tab w:val="left" w:pos="48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503184020" w:history="1">
            <w:r w:rsidRPr="000E24E0">
              <w:rPr>
                <w:rStyle w:val="Lienhypertexte"/>
                <w:noProof/>
                <w:lang w:val="fr-CH"/>
              </w:rPr>
              <w:t>5.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E24E0">
              <w:rPr>
                <w:rStyle w:val="Lienhypertexte"/>
                <w:noProof/>
                <w:lang w:val="fr-CH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93F" w:rsidRDefault="004A193F">
          <w:pPr>
            <w:pStyle w:val="TM2"/>
            <w:tabs>
              <w:tab w:val="left" w:pos="88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503184021" w:history="1">
            <w:r w:rsidRPr="000E24E0">
              <w:rPr>
                <w:rStyle w:val="Lienhypertexte"/>
                <w:noProof/>
                <w:lang w:val="fr-CH"/>
              </w:rPr>
              <w:t>5.1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E24E0">
              <w:rPr>
                <w:rStyle w:val="Lienhypertexte"/>
                <w:noProof/>
                <w:lang w:val="fr-CH"/>
              </w:rPr>
              <w:t>Schéma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193F" w:rsidRDefault="004A193F">
          <w:pPr>
            <w:pStyle w:val="TM2"/>
            <w:tabs>
              <w:tab w:val="left" w:pos="880"/>
              <w:tab w:val="right" w:leader="dot" w:pos="9628"/>
            </w:tabs>
            <w:rPr>
              <w:rFonts w:eastAsiaTheme="minorEastAsia" w:cstheme="minorBidi"/>
              <w:noProof/>
              <w:sz w:val="22"/>
              <w:szCs w:val="22"/>
              <w:lang w:val="fr-CH" w:eastAsia="fr-CH"/>
            </w:rPr>
          </w:pPr>
          <w:hyperlink w:anchor="_Toc503184022" w:history="1">
            <w:r w:rsidRPr="000E24E0">
              <w:rPr>
                <w:rStyle w:val="Lienhypertexte"/>
                <w:noProof/>
                <w:lang w:val="fr-CH"/>
              </w:rPr>
              <w:t>5.2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0E24E0">
              <w:rPr>
                <w:rStyle w:val="Lienhypertexte"/>
                <w:noProof/>
                <w:lang w:val="fr-CH"/>
              </w:rPr>
              <w:t>Annexe : Configshow du switch optique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472" w:rsidRDefault="00C97A33" w:rsidP="00E6547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97A33" w:rsidRDefault="00C97A33" w:rsidP="00E65472">
      <w:r>
        <w:br w:type="page"/>
      </w:r>
    </w:p>
    <w:p w:rsidR="004A1663" w:rsidRPr="002E638C" w:rsidRDefault="00A4289F">
      <w:pPr>
        <w:pStyle w:val="Titre1"/>
      </w:pPr>
      <w:bookmarkStart w:id="1" w:name="_Toc503184009"/>
      <w:r>
        <w:lastRenderedPageBreak/>
        <w:t>Schéma du rack</w:t>
      </w:r>
      <w:bookmarkEnd w:id="1"/>
    </w:p>
    <w:p w:rsidR="004A1663" w:rsidRDefault="00A4289F" w:rsidP="00A4289F">
      <w:r>
        <w:t xml:space="preserve">Le schéma est disponible </w:t>
      </w:r>
      <w:r w:rsidR="000342A7">
        <w:t>au</w:t>
      </w:r>
      <w:r>
        <w:t xml:space="preserve"> format Visio (fichier </w:t>
      </w:r>
      <w:r w:rsidRPr="00A4289F">
        <w:t>Rack Idefix.vsd</w:t>
      </w:r>
      <w:r>
        <w:t>).</w:t>
      </w:r>
    </w:p>
    <w:p w:rsidR="00A4289F" w:rsidRDefault="00A4289F" w:rsidP="00A4289F"/>
    <w:p w:rsidR="00E65472" w:rsidRDefault="00E65472" w:rsidP="00E65472">
      <w:pPr>
        <w:pStyle w:val="Titre1"/>
      </w:pPr>
      <w:bookmarkStart w:id="2" w:name="_Toc503184010"/>
      <w:r>
        <w:t>Plan d’adressage</w:t>
      </w:r>
      <w:bookmarkEnd w:id="2"/>
    </w:p>
    <w:p w:rsidR="00E65472" w:rsidRDefault="003A387D" w:rsidP="00A4289F">
      <w:r>
        <w:t>Serveur D : 192.168.20.40</w:t>
      </w:r>
    </w:p>
    <w:p w:rsidR="00F63284" w:rsidRDefault="00F63284" w:rsidP="007F24AF">
      <w:pPr>
        <w:pStyle w:val="Titre1"/>
      </w:pPr>
      <w:bookmarkStart w:id="3" w:name="_Toc503184011"/>
      <w:r>
        <w:t>Switch KVM</w:t>
      </w:r>
      <w:bookmarkEnd w:id="3"/>
    </w:p>
    <w:p w:rsidR="00F63284" w:rsidRDefault="00F63284" w:rsidP="00A4289F">
      <w:pPr>
        <w:rPr>
          <w:rFonts w:ascii="Calibri" w:hAnsi="Calibri"/>
        </w:rPr>
      </w:pPr>
      <w:r>
        <w:t>Référence :</w:t>
      </w:r>
      <w:r>
        <w:tab/>
      </w:r>
      <w:proofErr w:type="spellStart"/>
      <w:r>
        <w:rPr>
          <w:rFonts w:ascii="Calibri" w:hAnsi="Calibri"/>
        </w:rPr>
        <w:t>Aten</w:t>
      </w:r>
      <w:proofErr w:type="spellEnd"/>
      <w:r>
        <w:rPr>
          <w:rFonts w:ascii="Calibri" w:hAnsi="Calibri"/>
        </w:rPr>
        <w:t xml:space="preserve"> CS1316, 16-Port KVM Switch</w:t>
      </w:r>
    </w:p>
    <w:p w:rsidR="00F63284" w:rsidRDefault="00F63284" w:rsidP="00A4289F">
      <w:r>
        <w:rPr>
          <w:rFonts w:ascii="Calibri" w:hAnsi="Calibri"/>
        </w:rPr>
        <w:t xml:space="preserve">Référence des câbles : </w:t>
      </w:r>
      <w:proofErr w:type="spellStart"/>
      <w:r w:rsidR="007F24AF">
        <w:rPr>
          <w:rFonts w:ascii="Calibri" w:hAnsi="Calibri"/>
        </w:rPr>
        <w:t>Aten</w:t>
      </w:r>
      <w:proofErr w:type="spellEnd"/>
      <w:r w:rsidR="007F24AF">
        <w:rPr>
          <w:rFonts w:ascii="Calibri" w:hAnsi="Calibri"/>
        </w:rPr>
        <w:t xml:space="preserve"> 2L-5203U (3m).</w:t>
      </w:r>
    </w:p>
    <w:p w:rsidR="00F63284" w:rsidRDefault="007F24AF" w:rsidP="00A4289F">
      <w:r>
        <w:t xml:space="preserve">KVM signifie Keyboard </w:t>
      </w:r>
      <w:proofErr w:type="spellStart"/>
      <w:r>
        <w:t>Video</w:t>
      </w:r>
      <w:proofErr w:type="spellEnd"/>
      <w:r>
        <w:t xml:space="preserve"> Mouse.</w:t>
      </w:r>
    </w:p>
    <w:p w:rsidR="007F24AF" w:rsidRDefault="007F24AF" w:rsidP="00A4289F">
      <w:r>
        <w:t xml:space="preserve">Un tel switch KVM permet de n’utiliser qu’un seul moniteur avec clavier et souris </w:t>
      </w:r>
      <w:r w:rsidR="008E7C62">
        <w:t>connecté à</w:t>
      </w:r>
      <w:r>
        <w:t xml:space="preserve"> 1 serveur parmi 16. On bascule de serveur en utilisant le menu à l’écran</w:t>
      </w:r>
      <w:r w:rsidR="008E7C62">
        <w:t xml:space="preserve"> (clavier ou souris)</w:t>
      </w:r>
      <w:r>
        <w:t xml:space="preserve"> ou une combinaison de touches ou plus simplement en pressant sur le numéro correspondant sur le KVM.</w:t>
      </w:r>
    </w:p>
    <w:p w:rsidR="007F24AF" w:rsidRDefault="007F24AF" w:rsidP="00A4289F">
      <w:r>
        <w:t>Il faut commencer par rentrer un nom d’utilisateur et un mot de passe</w:t>
      </w:r>
      <w:r w:rsidR="008E7C62">
        <w:t xml:space="preserve"> (la commutation ne fonctionne pas avant, apparemment)</w:t>
      </w:r>
      <w:r>
        <w:t>.</w:t>
      </w:r>
      <w:r w:rsidR="008E7C62">
        <w:t xml:space="preserve"> </w:t>
      </w:r>
      <w:r>
        <w:t>Pour l’instant on utilise les valeurs par défaut (&lt;enter&gt; et &lt;enter&gt;) ce qui connecte au KVM en administrateur.</w:t>
      </w:r>
    </w:p>
    <w:p w:rsidR="003A387D" w:rsidRDefault="003A387D" w:rsidP="00A4289F">
      <w:r>
        <w:t>Le système peu se composer d’un maximum de 10 utilisateur et 1 administrateur</w:t>
      </w:r>
    </w:p>
    <w:p w:rsidR="003A387D" w:rsidRDefault="003A387D" w:rsidP="00A4289F">
      <w:r>
        <w:t>Il serait possible de configurer un nouvel utilisateur</w:t>
      </w:r>
    </w:p>
    <w:p w:rsidR="007F24AF" w:rsidRDefault="007F24AF" w:rsidP="00A4289F">
      <w:r>
        <w:t>A l’avenir il serait indiqué de créer un compte utilisateur avec des droits plus limités</w:t>
      </w:r>
      <w:r w:rsidR="008E7C62">
        <w:t>, pour les apprenants,</w:t>
      </w:r>
      <w:r>
        <w:t xml:space="preserve"> et un mot de passe pour le compte administrateur, réservé aux enseignants.</w:t>
      </w:r>
    </w:p>
    <w:p w:rsidR="007F24AF" w:rsidRDefault="007F24AF" w:rsidP="00A4289F">
      <w:r>
        <w:t xml:space="preserve">Un câble spécifique est fourni pour les mises à jour du </w:t>
      </w:r>
      <w:proofErr w:type="spellStart"/>
      <w:r>
        <w:t>firmware</w:t>
      </w:r>
      <w:proofErr w:type="spellEnd"/>
      <w:r>
        <w:t xml:space="preserve"> (pour l’instant dans le carton posé sur le rack).</w:t>
      </w:r>
    </w:p>
    <w:p w:rsidR="003A387D" w:rsidRDefault="003A387D" w:rsidP="00A4289F"/>
    <w:p w:rsidR="007F24AF" w:rsidRDefault="007F24AF" w:rsidP="00A4289F"/>
    <w:p w:rsidR="007F24AF" w:rsidRDefault="007F24AF" w:rsidP="00A4289F"/>
    <w:p w:rsidR="00237045" w:rsidRDefault="00237045">
      <w:pPr>
        <w:spacing w:after="0"/>
        <w:jc w:val="left"/>
      </w:pPr>
      <w:r>
        <w:br w:type="page"/>
      </w:r>
    </w:p>
    <w:p w:rsidR="00A4289F" w:rsidRDefault="002C6198" w:rsidP="002C6198">
      <w:pPr>
        <w:pStyle w:val="Titre1"/>
      </w:pPr>
      <w:bookmarkStart w:id="4" w:name="_Toc503184012"/>
      <w:bookmarkStart w:id="5" w:name="_GoBack"/>
      <w:bookmarkEnd w:id="5"/>
      <w:r>
        <w:lastRenderedPageBreak/>
        <w:t>Serveurs HP</w:t>
      </w:r>
      <w:bookmarkEnd w:id="4"/>
    </w:p>
    <w:p w:rsidR="005877FD" w:rsidRDefault="005877FD" w:rsidP="005877FD">
      <w:pPr>
        <w:pStyle w:val="Titre2"/>
      </w:pPr>
      <w:bookmarkStart w:id="6" w:name="_Toc503184013"/>
      <w:r>
        <w:t>Présentation</w:t>
      </w:r>
      <w:bookmarkEnd w:id="6"/>
    </w:p>
    <w:p w:rsidR="005877FD" w:rsidRDefault="005877FD" w:rsidP="005877FD">
      <w:r>
        <w:t xml:space="preserve">Le rack comporte 4 serveurs HP ProLiant DL 380 G5 équipés d’une taille de RAM conséquente et chacun d’un HBA simple port 4 Gb/s pour </w:t>
      </w:r>
      <w:r w:rsidR="008E7C62">
        <w:t xml:space="preserve">la </w:t>
      </w:r>
      <w:r w:rsidR="00294621">
        <w:t>connexion</w:t>
      </w:r>
      <w:r>
        <w:t xml:space="preserve"> au SAN.</w:t>
      </w:r>
    </w:p>
    <w:p w:rsidR="005877FD" w:rsidRDefault="005877FD" w:rsidP="005877FD">
      <w:r>
        <w:t xml:space="preserve">Installés sur des rails propriétaires qui se fixent rapidement au rack (par </w:t>
      </w:r>
      <w:proofErr w:type="spellStart"/>
      <w:r>
        <w:t>clipage</w:t>
      </w:r>
      <w:proofErr w:type="spellEnd"/>
      <w:r>
        <w:t>), on peut facilement les tirer vers l’avant en les déverrouillant en abaissant deux tirettes</w:t>
      </w:r>
      <w:r w:rsidR="00A61A5F">
        <w:t xml:space="preserve"> de chaque côté de la face avant</w:t>
      </w:r>
      <w:r>
        <w:t>. On peut ainsi avancer suffisamment le serveur en sécurité (il y a une butée) pour enlever son couvercle et intervenir.</w:t>
      </w:r>
    </w:p>
    <w:p w:rsidR="005877FD" w:rsidRDefault="005877FD" w:rsidP="00A61A5F">
      <w:pPr>
        <w:pStyle w:val="Titre2"/>
      </w:pPr>
      <w:bookmarkStart w:id="7" w:name="_Toc503184014"/>
      <w:r>
        <w:t>Question pour les élèves</w:t>
      </w:r>
      <w:bookmarkEnd w:id="7"/>
    </w:p>
    <w:p w:rsidR="005877FD" w:rsidRDefault="005877FD" w:rsidP="005877FD">
      <w:r>
        <w:t>Pourquoi a-t-on placé les deux disques RAID 10 (miroir) en positions 1 et 5 ?</w:t>
      </w:r>
    </w:p>
    <w:p w:rsidR="005877FD" w:rsidRDefault="005877FD" w:rsidP="005877FD">
      <w:r>
        <w:t>Réponse : ouvrir le capot et constater qu’ils sont ainsi sur deux câbles différents, deux chips différents du contrôleur de RAID, ce qui assure une meilleure résilience.</w:t>
      </w:r>
    </w:p>
    <w:p w:rsidR="005877FD" w:rsidRDefault="005877FD" w:rsidP="005877FD">
      <w:r>
        <w:t xml:space="preserve">Ces serveurs supportent 2 alimentations électriques redondantes et </w:t>
      </w:r>
      <w:r w:rsidR="00A61A5F">
        <w:t>enfichables</w:t>
      </w:r>
      <w:r>
        <w:t xml:space="preserve"> à chaud.</w:t>
      </w:r>
    </w:p>
    <w:p w:rsidR="005877FD" w:rsidRDefault="005877FD" w:rsidP="005877FD">
      <w:r>
        <w:t>En face avant un schéma permet de localiser facilement les pannes.</w:t>
      </w:r>
    </w:p>
    <w:p w:rsidR="005877FD" w:rsidRDefault="00F10B00" w:rsidP="005877FD">
      <w:r>
        <w:t xml:space="preserve">Une documentation </w:t>
      </w:r>
      <w:r w:rsidR="00294621">
        <w:t>succincte</w:t>
      </w:r>
      <w:r>
        <w:t xml:space="preserve"> mais suffisante est collée à l’intérieur du couvercle, en particulier pour localiser la RAM et indiquer la façon dont les connecteurs sont </w:t>
      </w:r>
      <w:proofErr w:type="spellStart"/>
      <w:r>
        <w:t>a</w:t>
      </w:r>
      <w:r w:rsidR="00294621">
        <w:t>p</w:t>
      </w:r>
      <w:r w:rsidR="00A61A5F">
        <w:t>p</w:t>
      </w:r>
      <w:r>
        <w:t>airés</w:t>
      </w:r>
      <w:proofErr w:type="spellEnd"/>
      <w:r>
        <w:t>.</w:t>
      </w:r>
    </w:p>
    <w:p w:rsidR="00F10B00" w:rsidRDefault="00294621" w:rsidP="005877FD">
      <w:r>
        <w:t>Une clé six pans est fournie à l’arrière, mais la plupart des vis peuvent être dévissées ou serrées à la main.</w:t>
      </w:r>
    </w:p>
    <w:p w:rsidR="00294621" w:rsidRDefault="00294621" w:rsidP="005877FD">
      <w:r>
        <w:t>Les cartes d’extension PCI sont logées dans une cage qui est maintenue par 2 vis (pièces en plastique bleu) qui est le « riser » en anglais.</w:t>
      </w:r>
    </w:p>
    <w:p w:rsidR="00294621" w:rsidRDefault="00294621" w:rsidP="005877FD">
      <w:r>
        <w:t xml:space="preserve">Ce modèle est bien adapté aux performances nécessaires pour des serveurs </w:t>
      </w:r>
      <w:proofErr w:type="spellStart"/>
      <w:r>
        <w:t>ESXi</w:t>
      </w:r>
      <w:proofErr w:type="spellEnd"/>
      <w:r>
        <w:t>.</w:t>
      </w:r>
    </w:p>
    <w:p w:rsidR="00294621" w:rsidRPr="005877FD" w:rsidRDefault="00294621" w:rsidP="005877FD">
      <w:r>
        <w:t xml:space="preserve">Dans l’industrie on ajoute généralement des cartes réseaux 4 ports pour arriver à un total de 10 ports physiques où l’on distribue les différents types de connexion avec une forte redondance (pour les réseaux des Virtual Machines, mais aussi en séparant plusieurs réseaux utiles à la gestion de la virtualisation et des mécanismes de </w:t>
      </w:r>
      <w:proofErr w:type="spellStart"/>
      <w:r>
        <w:t>vmotion</w:t>
      </w:r>
      <w:proofErr w:type="spellEnd"/>
      <w:r>
        <w:t xml:space="preserve"> (possibilités de déplacer une machine virtuelle sur un autre hyperviseur) et de HA (High </w:t>
      </w:r>
      <w:proofErr w:type="spellStart"/>
      <w:r>
        <w:t>Availability</w:t>
      </w:r>
      <w:proofErr w:type="spellEnd"/>
      <w:r>
        <w:t> : redémarrage d’une VM sur un autre hyperviseur en cas de panne).</w:t>
      </w:r>
    </w:p>
    <w:p w:rsidR="00A4289F" w:rsidRDefault="005877FD" w:rsidP="005877FD">
      <w:pPr>
        <w:pStyle w:val="Titre2"/>
      </w:pPr>
      <w:bookmarkStart w:id="8" w:name="_Toc503184015"/>
      <w:r>
        <w:t>Port ILO</w:t>
      </w:r>
      <w:bookmarkEnd w:id="8"/>
    </w:p>
    <w:p w:rsidR="005877FD" w:rsidRDefault="005877FD" w:rsidP="005877FD">
      <w:r>
        <w:t>Les serveurs ProLiant de HP compor</w:t>
      </w:r>
      <w:r w:rsidR="009705AF">
        <w:t xml:space="preserve">tent à l’arrière un port </w:t>
      </w:r>
      <w:r w:rsidR="005D2678">
        <w:t>ILO</w:t>
      </w:r>
      <w:r w:rsidR="009705AF">
        <w:t xml:space="preserve"> (</w:t>
      </w:r>
      <w:r>
        <w:t>Integrat</w:t>
      </w:r>
      <w:r w:rsidR="00AC38AF">
        <w:t>ed Light</w:t>
      </w:r>
      <w:r w:rsidR="009705AF">
        <w:t xml:space="preserve">s-Out) </w:t>
      </w:r>
      <w:r w:rsidR="00775C73">
        <w:t xml:space="preserve">qui est une carte réseau </w:t>
      </w:r>
      <w:r w:rsidR="00AC38AF">
        <w:t>embarquée p</w:t>
      </w:r>
      <w:r w:rsidR="00775C73">
        <w:t xml:space="preserve">ermettant de </w:t>
      </w:r>
      <w:r w:rsidR="004E3555">
        <w:t>contrôler</w:t>
      </w:r>
      <w:r w:rsidR="00AC38AF">
        <w:t xml:space="preserve"> le serveur physique à distance</w:t>
      </w:r>
      <w:r w:rsidR="00622BD3">
        <w:t>.</w:t>
      </w:r>
    </w:p>
    <w:p w:rsidR="007A3608" w:rsidRDefault="007A3608" w:rsidP="007A3608">
      <w:r>
        <w:t xml:space="preserve">Le système </w:t>
      </w:r>
      <w:r w:rsidR="004E3555">
        <w:t xml:space="preserve">permet </w:t>
      </w:r>
      <w:r w:rsidR="00622BD3">
        <w:t xml:space="preserve">entre autres </w:t>
      </w:r>
      <w:r w:rsidR="004E3555">
        <w:t>d’allumer, redémarre et d’éteindre le serveur à di</w:t>
      </w:r>
      <w:r>
        <w:t>stance,</w:t>
      </w:r>
      <w:r w:rsidRPr="007A3608">
        <w:t xml:space="preserve"> </w:t>
      </w:r>
      <w:r>
        <w:t xml:space="preserve">d’accéder à nombre d’informations sur le </w:t>
      </w:r>
      <w:r>
        <w:t xml:space="preserve">serveur, de s’y connecter par </w:t>
      </w:r>
      <w:r w:rsidR="004E3555">
        <w:t>console</w:t>
      </w:r>
      <w:r>
        <w:t xml:space="preserve"> ou en utilisant un interface graphique (Licences suppl. nécessaire)</w:t>
      </w:r>
      <w:r w:rsidR="004E3555">
        <w:t xml:space="preserve">, </w:t>
      </w:r>
      <w:r w:rsidR="00E16236">
        <w:t>de monter des CD/DVD physiques ou des images,</w:t>
      </w:r>
      <w:r>
        <w:t xml:space="preserve"> ou encore de </w:t>
      </w:r>
      <w:r>
        <w:t>paramétrer des alertes</w:t>
      </w:r>
      <w:r>
        <w:t>.</w:t>
      </w:r>
    </w:p>
    <w:p w:rsidR="00E16236" w:rsidRDefault="00E16236" w:rsidP="00873D8A">
      <w:r>
        <w:t xml:space="preserve">Il n’y a aucune connexion avec </w:t>
      </w:r>
      <w:r w:rsidR="00152E2D">
        <w:t>les interfaces</w:t>
      </w:r>
      <w:r>
        <w:t xml:space="preserve"> réseau du ProLiant ou des VM, il faut voir </w:t>
      </w:r>
      <w:proofErr w:type="spellStart"/>
      <w:r>
        <w:t>l’iLO</w:t>
      </w:r>
      <w:proofErr w:type="spellEnd"/>
      <w:r>
        <w:t xml:space="preserve"> comme un système de gestion embarqué indépendant du serveur et alimenté en p</w:t>
      </w:r>
      <w:r w:rsidR="00622BD3">
        <w:t>ermanence (s’il y a du courant).</w:t>
      </w:r>
    </w:p>
    <w:p w:rsidR="00693AE3" w:rsidRDefault="00693AE3" w:rsidP="00A4289F"/>
    <w:p w:rsidR="00237045" w:rsidRDefault="00237045">
      <w:pPr>
        <w:spacing w:after="0"/>
        <w:jc w:val="left"/>
      </w:pPr>
    </w:p>
    <w:p w:rsidR="00124505" w:rsidRDefault="007A3608" w:rsidP="00775C73">
      <w:pPr>
        <w:pStyle w:val="Titre2"/>
      </w:pPr>
      <w:bookmarkStart w:id="9" w:name="_Toc503184016"/>
      <w:r>
        <w:lastRenderedPageBreak/>
        <w:t>RAID</w:t>
      </w:r>
      <w:bookmarkEnd w:id="9"/>
    </w:p>
    <w:p w:rsidR="00BA2556" w:rsidRPr="00BA2556" w:rsidRDefault="00BA2556" w:rsidP="00BA2556">
      <w:pPr>
        <w:pStyle w:val="Titre2"/>
      </w:pPr>
      <w:bookmarkStart w:id="10" w:name="_Toc503184017"/>
      <w:r w:rsidRPr="00BA2556">
        <w:t>Descri</w:t>
      </w:r>
      <w:r>
        <w:t>p</w:t>
      </w:r>
      <w:r w:rsidRPr="00BA2556">
        <w:t>tion</w:t>
      </w:r>
      <w:bookmarkEnd w:id="10"/>
    </w:p>
    <w:p w:rsidR="00124505" w:rsidRDefault="00124505" w:rsidP="00A4289F"/>
    <w:p w:rsidR="002E3280" w:rsidRPr="00BA2556" w:rsidRDefault="002E3280" w:rsidP="00BA2556">
      <w:pPr>
        <w:pStyle w:val="Titre2"/>
      </w:pPr>
      <w:bookmarkStart w:id="11" w:name="_Toc503184018"/>
      <w:r w:rsidRPr="00BA2556">
        <w:t>Console</w:t>
      </w:r>
      <w:bookmarkEnd w:id="11"/>
    </w:p>
    <w:p w:rsidR="00DF6E3F" w:rsidRDefault="00DF6E3F" w:rsidP="00A4289F">
      <w:r>
        <w:t xml:space="preserve">On utilise un portable avec un port RS232 et un câble série </w:t>
      </w:r>
      <w:r w:rsidRPr="00DF6E3F">
        <w:rPr>
          <w:u w:val="single"/>
        </w:rPr>
        <w:t>droit</w:t>
      </w:r>
      <w:r>
        <w:t xml:space="preserve"> (pas </w:t>
      </w:r>
      <w:proofErr w:type="spellStart"/>
      <w:r>
        <w:t>null</w:t>
      </w:r>
      <w:proofErr w:type="spellEnd"/>
      <w:r>
        <w:t xml:space="preserve"> modem) fourni par le service informatique.</w:t>
      </w:r>
    </w:p>
    <w:p w:rsidR="00DF6E3F" w:rsidRDefault="00500665" w:rsidP="00A4289F">
      <w:pPr>
        <w:rPr>
          <w:i/>
        </w:rPr>
      </w:pPr>
      <w:r>
        <w:t xml:space="preserve">On utilise </w:t>
      </w:r>
      <w:proofErr w:type="spellStart"/>
      <w:r>
        <w:t>Putty</w:t>
      </w:r>
      <w:proofErr w:type="spellEnd"/>
      <w:r>
        <w:t xml:space="preserve"> en mode Serial, 9600 / 8 / 1 stop bit / pas de parité / pas de contrôle.</w:t>
      </w:r>
      <w:r>
        <w:rPr>
          <w:rStyle w:val="Appelnotedebasdep"/>
        </w:rPr>
        <w:footnoteReference w:id="1"/>
      </w:r>
      <w:r w:rsidR="002116B4">
        <w:t xml:space="preserve"> </w:t>
      </w:r>
      <w:r w:rsidR="002116B4">
        <w:rPr>
          <w:i/>
        </w:rPr>
        <w:t>En fait les paramètres par défaut fonctionnent aussi (</w:t>
      </w:r>
      <w:proofErr w:type="spellStart"/>
      <w:r w:rsidR="002116B4">
        <w:rPr>
          <w:i/>
        </w:rPr>
        <w:t>Xon</w:t>
      </w:r>
      <w:proofErr w:type="spellEnd"/>
      <w:r w:rsidR="002116B4">
        <w:rPr>
          <w:i/>
        </w:rPr>
        <w:t>/</w:t>
      </w:r>
      <w:proofErr w:type="spellStart"/>
      <w:r w:rsidR="002116B4">
        <w:rPr>
          <w:i/>
        </w:rPr>
        <w:t>Xoff</w:t>
      </w:r>
      <w:proofErr w:type="spellEnd"/>
      <w:r w:rsidR="002116B4">
        <w:rPr>
          <w:i/>
        </w:rPr>
        <w:t>).</w:t>
      </w:r>
    </w:p>
    <w:p w:rsidR="00113259" w:rsidRDefault="00113259" w:rsidP="00113259">
      <w:pPr>
        <w:ind w:left="708" w:hanging="708"/>
        <w:rPr>
          <w:i/>
        </w:rPr>
      </w:pPr>
      <w:r>
        <w:rPr>
          <w:i/>
        </w:rPr>
        <w:t xml:space="preserve">Connection au moyen de </w:t>
      </w:r>
      <w:proofErr w:type="spellStart"/>
      <w:r>
        <w:rPr>
          <w:i/>
        </w:rPr>
        <w:t>vsphere</w:t>
      </w:r>
      <w:proofErr w:type="spellEnd"/>
      <w:r>
        <w:rPr>
          <w:i/>
        </w:rPr>
        <w:t xml:space="preserve"> client </w:t>
      </w:r>
    </w:p>
    <w:p w:rsidR="00113259" w:rsidRDefault="00113259" w:rsidP="00A4289F">
      <w:pPr>
        <w:rPr>
          <w:i/>
        </w:rPr>
      </w:pPr>
    </w:p>
    <w:p w:rsidR="00113259" w:rsidRPr="002116B4" w:rsidRDefault="00113259" w:rsidP="00A4289F">
      <w:pPr>
        <w:rPr>
          <w:i/>
        </w:rPr>
      </w:pPr>
    </w:p>
    <w:p w:rsidR="00124505" w:rsidRDefault="00124505" w:rsidP="00A4289F">
      <w:proofErr w:type="spellStart"/>
      <w:r>
        <w:t>Password</w:t>
      </w:r>
      <w:proofErr w:type="spellEnd"/>
      <w:r>
        <w:t xml:space="preserve"> réinitialisé en utilisant la procédure correspondante du document :</w:t>
      </w:r>
    </w:p>
    <w:p w:rsidR="00124505" w:rsidRDefault="00124505" w:rsidP="00DF6E3F">
      <w:pPr>
        <w:ind w:firstLine="708"/>
      </w:pPr>
      <w:r w:rsidRPr="00124505">
        <w:t>FOS_Password_Recovery_Notes.pdf</w:t>
      </w:r>
      <w:r w:rsidR="00EC17B8">
        <w:rPr>
          <w:rStyle w:val="Appelnotedebasdep"/>
        </w:rPr>
        <w:footnoteReference w:id="2"/>
      </w:r>
    </w:p>
    <w:p w:rsidR="00EC17B8" w:rsidRDefault="005C10B9" w:rsidP="00A4289F">
      <w:r>
        <w:t>Ensuite, les mots de passe par défaut sont</w:t>
      </w:r>
      <w:r w:rsidR="00EC17B8">
        <w:t> :</w:t>
      </w:r>
      <w:r w:rsidR="00EC17B8">
        <w:rPr>
          <w:rStyle w:val="Appelnotedebasdep"/>
        </w:rPr>
        <w:footnoteReference w:id="3"/>
      </w:r>
    </w:p>
    <w:p w:rsidR="00EC17B8" w:rsidRDefault="00EC17B8" w:rsidP="00A4289F">
      <w:proofErr w:type="gramStart"/>
      <w:r>
        <w:t>admin</w:t>
      </w:r>
      <w:proofErr w:type="gramEnd"/>
      <w:r>
        <w:tab/>
      </w:r>
      <w:r>
        <w:tab/>
      </w:r>
      <w:proofErr w:type="spellStart"/>
      <w:r>
        <w:t>password</w:t>
      </w:r>
      <w:proofErr w:type="spellEnd"/>
    </w:p>
    <w:p w:rsidR="00EC17B8" w:rsidRDefault="00EC17B8" w:rsidP="00A4289F">
      <w:proofErr w:type="spellStart"/>
      <w:proofErr w:type="gramStart"/>
      <w:r>
        <w:t>root</w:t>
      </w:r>
      <w:proofErr w:type="spellEnd"/>
      <w:proofErr w:type="gramEnd"/>
      <w:r>
        <w:tab/>
      </w:r>
      <w:r>
        <w:tab/>
      </w:r>
      <w:r w:rsidRPr="00EC17B8">
        <w:t>fibranne</w:t>
      </w:r>
    </w:p>
    <w:p w:rsidR="00113259" w:rsidRDefault="00113259" w:rsidP="00A4289F">
      <w:r>
        <w:t>3inf1pass</w:t>
      </w:r>
    </w:p>
    <w:p w:rsidR="00EC17B8" w:rsidRPr="00EC17B8" w:rsidRDefault="00EC17B8" w:rsidP="00A4289F">
      <w:pPr>
        <w:rPr>
          <w:b/>
        </w:rPr>
      </w:pPr>
      <w:r w:rsidRPr="00EC17B8">
        <w:rPr>
          <w:b/>
        </w:rPr>
        <w:t>On utilisera :</w:t>
      </w:r>
    </w:p>
    <w:p w:rsidR="005C10B9" w:rsidRDefault="005C10B9" w:rsidP="005C1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Login :</w:t>
      </w:r>
      <w:r>
        <w:tab/>
      </w:r>
      <w:r>
        <w:tab/>
      </w:r>
      <w:r w:rsidR="00EC17B8" w:rsidRPr="00EC17B8">
        <w:rPr>
          <w:b/>
        </w:rPr>
        <w:t>admin</w:t>
      </w:r>
    </w:p>
    <w:p w:rsidR="005C10B9" w:rsidRDefault="005C10B9" w:rsidP="005C1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>
        <w:t>Password</w:t>
      </w:r>
      <w:proofErr w:type="spellEnd"/>
      <w:r>
        <w:t> :</w:t>
      </w:r>
      <w:r>
        <w:tab/>
      </w:r>
      <w:proofErr w:type="spellStart"/>
      <w:r w:rsidRPr="00EC17B8">
        <w:rPr>
          <w:b/>
        </w:rPr>
        <w:t>password</w:t>
      </w:r>
      <w:proofErr w:type="spellEnd"/>
    </w:p>
    <w:p w:rsidR="00156A53" w:rsidRDefault="00156A53">
      <w:pPr>
        <w:spacing w:after="0"/>
        <w:jc w:val="left"/>
      </w:pPr>
    </w:p>
    <w:p w:rsidR="005C10B9" w:rsidRDefault="00F57F17" w:rsidP="00BA2556">
      <w:pPr>
        <w:pStyle w:val="Titre2"/>
      </w:pPr>
      <w:bookmarkStart w:id="12" w:name="_Toc503184019"/>
      <w:r>
        <w:t>Détail</w:t>
      </w:r>
      <w:r w:rsidR="00DF6E3F">
        <w:t>s</w:t>
      </w:r>
      <w:r>
        <w:t xml:space="preserve"> de la proc</w:t>
      </w:r>
      <w:r w:rsidR="00BA2556">
        <w:t>édure d</w:t>
      </w:r>
      <w:r w:rsidR="00D54794">
        <w:t>’effacement du raid</w:t>
      </w:r>
      <w:bookmarkEnd w:id="12"/>
    </w:p>
    <w:p w:rsidR="00690163" w:rsidRPr="00DF6E3F" w:rsidRDefault="007A3608" w:rsidP="00690163">
      <w:pPr>
        <w:autoSpaceDE w:val="0"/>
        <w:autoSpaceDN w:val="0"/>
        <w:adjustRightInd w:val="0"/>
        <w:spacing w:after="0"/>
        <w:jc w:val="left"/>
        <w:rPr>
          <w:rFonts w:ascii="FranklinGothic-Book" w:hAnsi="FranklinGothic-Book" w:cs="FranklinGothic-Book"/>
          <w:color w:val="000000"/>
          <w:sz w:val="20"/>
          <w:lang w:val="en-GB" w:eastAsia="fr-CH"/>
        </w:rPr>
      </w:pPr>
      <w:r>
        <w:rPr>
          <w:rFonts w:ascii="FranklinGothic-Book" w:hAnsi="FranklinGothic-Book" w:cs="FranklinGothic-Book"/>
          <w:sz w:val="20"/>
          <w:lang w:val="en-GB" w:eastAsia="fr-CH"/>
        </w:rPr>
        <w:t>1</w:t>
      </w:r>
      <w:r w:rsidR="00690163" w:rsidRPr="00DF6E3F">
        <w:rPr>
          <w:rFonts w:ascii="FranklinGothic-Book" w:hAnsi="FranklinGothic-Book" w:cs="FranklinGothic-Book"/>
          <w:color w:val="000000"/>
          <w:sz w:val="20"/>
          <w:lang w:val="en-GB" w:eastAsia="fr-CH"/>
        </w:rPr>
        <w:t>:</w:t>
      </w:r>
    </w:p>
    <w:p w:rsidR="00214C6A" w:rsidRDefault="00214C6A" w:rsidP="00DF6E3F">
      <w:pPr>
        <w:rPr>
          <w:rFonts w:ascii="Courier New" w:hAnsi="Courier New"/>
          <w:lang w:val="fr-CH"/>
        </w:rPr>
      </w:pPr>
    </w:p>
    <w:p w:rsidR="006268D1" w:rsidRDefault="006268D1" w:rsidP="00DF6E3F">
      <w:pPr>
        <w:rPr>
          <w:lang w:val="fr-CH"/>
        </w:rPr>
      </w:pPr>
    </w:p>
    <w:p w:rsidR="00F920DB" w:rsidRDefault="00F920DB" w:rsidP="00F920DB">
      <w:pPr>
        <w:pStyle w:val="Titre1"/>
        <w:rPr>
          <w:lang w:val="fr-CH"/>
        </w:rPr>
      </w:pPr>
      <w:bookmarkStart w:id="13" w:name="_Toc503184020"/>
      <w:r>
        <w:rPr>
          <w:lang w:val="fr-CH"/>
        </w:rPr>
        <w:t>Annexes</w:t>
      </w:r>
      <w:bookmarkEnd w:id="13"/>
    </w:p>
    <w:p w:rsidR="00F920DB" w:rsidRDefault="00775C73" w:rsidP="00F920DB">
      <w:pPr>
        <w:pStyle w:val="Titre2"/>
        <w:rPr>
          <w:lang w:val="fr-CH"/>
        </w:rPr>
      </w:pPr>
      <w:bookmarkStart w:id="14" w:name="_Toc503184021"/>
      <w:r>
        <w:rPr>
          <w:lang w:val="fr-CH"/>
        </w:rPr>
        <w:t>Schéma serveur</w:t>
      </w:r>
      <w:bookmarkEnd w:id="14"/>
    </w:p>
    <w:p w:rsidR="00D37DE5" w:rsidRDefault="00601943" w:rsidP="00303EF1">
      <w:pPr>
        <w:pStyle w:val="Titre2"/>
        <w:rPr>
          <w:lang w:val="fr-CH"/>
        </w:rPr>
      </w:pPr>
      <w:bookmarkStart w:id="15" w:name="_Toc503184022"/>
      <w:r>
        <w:rPr>
          <w:lang w:val="fr-CH"/>
        </w:rPr>
        <w:t xml:space="preserve">Annexe : </w:t>
      </w:r>
      <w:r w:rsidR="00303EF1">
        <w:rPr>
          <w:lang w:val="fr-CH"/>
        </w:rPr>
        <w:t>Configshow du switch optique</w:t>
      </w:r>
      <w:bookmarkEnd w:id="15"/>
    </w:p>
    <w:p w:rsidR="003A2B56" w:rsidRDefault="004F73A7" w:rsidP="00DF6E3F">
      <w:pPr>
        <w:rPr>
          <w:lang w:val="fr-CH"/>
        </w:rPr>
      </w:pPr>
      <w:r>
        <w:rPr>
          <w:lang w:val="fr-CH"/>
        </w:rPr>
        <w:t>Interprétation : en fait, nous n’avons pas besoin d’exporter les volumes au moyen du protocole NFS puisque le but est d’utiliser FCP (</w:t>
      </w:r>
      <w:proofErr w:type="spellStart"/>
      <w:r>
        <w:rPr>
          <w:lang w:val="fr-CH"/>
        </w:rPr>
        <w:t>Fiber</w:t>
      </w:r>
      <w:proofErr w:type="spellEnd"/>
      <w:r>
        <w:rPr>
          <w:lang w:val="fr-CH"/>
        </w:rPr>
        <w:t xml:space="preserve"> Channel Protocole) pour présenter les </w:t>
      </w:r>
      <w:proofErr w:type="spellStart"/>
      <w:r>
        <w:rPr>
          <w:lang w:val="fr-CH"/>
        </w:rPr>
        <w:t>LUNs</w:t>
      </w:r>
      <w:proofErr w:type="spellEnd"/>
      <w:r>
        <w:rPr>
          <w:lang w:val="fr-CH"/>
        </w:rPr>
        <w:t xml:space="preserve"> (ou volumes ?) aux hyperviseurs </w:t>
      </w:r>
      <w:proofErr w:type="spellStart"/>
      <w:r>
        <w:rPr>
          <w:lang w:val="fr-CH"/>
        </w:rPr>
        <w:t>ESXi</w:t>
      </w:r>
      <w:proofErr w:type="spellEnd"/>
      <w:r>
        <w:rPr>
          <w:lang w:val="fr-CH"/>
        </w:rPr>
        <w:t>.</w:t>
      </w:r>
    </w:p>
    <w:p w:rsidR="004F73A7" w:rsidRPr="00156A53" w:rsidRDefault="004F73A7" w:rsidP="00DF6E3F">
      <w:pPr>
        <w:rPr>
          <w:lang w:val="fr-CH"/>
        </w:rPr>
      </w:pPr>
    </w:p>
    <w:sectPr w:rsidR="004F73A7" w:rsidRPr="00156A53" w:rsidSect="00C959BF">
      <w:headerReference w:type="default" r:id="rId9"/>
      <w:footerReference w:type="default" r:id="rId10"/>
      <w:pgSz w:w="11906" w:h="16838"/>
      <w:pgMar w:top="115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E0B" w:rsidRDefault="00FA2E0B">
      <w:r>
        <w:separator/>
      </w:r>
    </w:p>
  </w:endnote>
  <w:endnote w:type="continuationSeparator" w:id="0">
    <w:p w:rsidR="00FA2E0B" w:rsidRDefault="00FA2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E0B" w:rsidRPr="002E638C" w:rsidRDefault="00FA2E0B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FILENAME </w:instrText>
    </w:r>
    <w:r w:rsidRPr="002E638C">
      <w:rPr>
        <w:snapToGrid w:val="0"/>
        <w:sz w:val="16"/>
      </w:rPr>
      <w:fldChar w:fldCharType="separate"/>
    </w:r>
    <w:r>
      <w:rPr>
        <w:noProof/>
        <w:snapToGrid w:val="0"/>
        <w:sz w:val="16"/>
      </w:rPr>
      <w:t>Rack Idefix - notes d'installation.docx</w:t>
    </w:r>
    <w:r w:rsidRPr="002E638C">
      <w:rPr>
        <w:snapToGrid w:val="0"/>
        <w:sz w:val="16"/>
      </w:rPr>
      <w:fldChar w:fldCharType="end"/>
    </w:r>
    <w:r w:rsidRPr="002E638C">
      <w:rPr>
        <w:snapToGrid w:val="0"/>
        <w:sz w:val="16"/>
      </w:rPr>
      <w:tab/>
    </w: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PAGE </w:instrText>
    </w:r>
    <w:r w:rsidRPr="002E638C">
      <w:rPr>
        <w:snapToGrid w:val="0"/>
        <w:sz w:val="16"/>
      </w:rPr>
      <w:fldChar w:fldCharType="separate"/>
    </w:r>
    <w:r w:rsidR="00C343F6">
      <w:rPr>
        <w:noProof/>
        <w:snapToGrid w:val="0"/>
        <w:sz w:val="16"/>
      </w:rPr>
      <w:t>2</w:t>
    </w:r>
    <w:r w:rsidRPr="002E638C">
      <w:rPr>
        <w:snapToGrid w:val="0"/>
        <w:sz w:val="16"/>
      </w:rPr>
      <w:fldChar w:fldCharType="end"/>
    </w:r>
    <w:r w:rsidRPr="002E638C">
      <w:rPr>
        <w:snapToGrid w:val="0"/>
        <w:sz w:val="16"/>
      </w:rPr>
      <w:t xml:space="preserve"> / </w:t>
    </w: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NUMPAGES </w:instrText>
    </w:r>
    <w:r w:rsidRPr="002E638C">
      <w:rPr>
        <w:snapToGrid w:val="0"/>
        <w:sz w:val="16"/>
      </w:rPr>
      <w:fldChar w:fldCharType="separate"/>
    </w:r>
    <w:r w:rsidR="00C343F6">
      <w:rPr>
        <w:noProof/>
        <w:snapToGrid w:val="0"/>
        <w:sz w:val="16"/>
      </w:rPr>
      <w:t>4</w:t>
    </w:r>
    <w:r w:rsidRPr="002E638C">
      <w:rPr>
        <w:snapToGrid w:val="0"/>
        <w:sz w:val="16"/>
      </w:rPr>
      <w:fldChar w:fldCharType="end"/>
    </w:r>
    <w:r w:rsidRPr="002E638C">
      <w:rPr>
        <w:snapToGrid w:val="0"/>
        <w:sz w:val="16"/>
      </w:rPr>
      <w:tab/>
    </w:r>
    <w:r>
      <w:rPr>
        <w:snapToGrid w:val="0"/>
        <w:sz w:val="16"/>
      </w:rPr>
      <w:t>MD</w:t>
    </w:r>
    <w:r w:rsidRPr="002E638C">
      <w:rPr>
        <w:snapToGrid w:val="0"/>
        <w:sz w:val="16"/>
      </w:rPr>
      <w:t xml:space="preserve"> : </w:t>
    </w:r>
    <w:r w:rsidRPr="002E638C">
      <w:rPr>
        <w:snapToGrid w:val="0"/>
        <w:sz w:val="16"/>
      </w:rPr>
      <w:fldChar w:fldCharType="begin"/>
    </w:r>
    <w:r w:rsidRPr="002E638C">
      <w:rPr>
        <w:snapToGrid w:val="0"/>
        <w:sz w:val="16"/>
      </w:rPr>
      <w:instrText xml:space="preserve"> SAVEDATE \@ "dd.MM.yyyy" \* MERGEFORMAT </w:instrText>
    </w:r>
    <w:r w:rsidRPr="002E638C">
      <w:rPr>
        <w:snapToGrid w:val="0"/>
        <w:sz w:val="16"/>
      </w:rPr>
      <w:fldChar w:fldCharType="separate"/>
    </w:r>
    <w:r w:rsidR="00D54794">
      <w:rPr>
        <w:noProof/>
        <w:snapToGrid w:val="0"/>
        <w:sz w:val="16"/>
      </w:rPr>
      <w:t>11.12.2017</w:t>
    </w:r>
    <w:r w:rsidRPr="002E638C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E0B" w:rsidRDefault="00FA2E0B">
      <w:r>
        <w:separator/>
      </w:r>
    </w:p>
  </w:footnote>
  <w:footnote w:type="continuationSeparator" w:id="0">
    <w:p w:rsidR="00FA2E0B" w:rsidRDefault="00FA2E0B">
      <w:r>
        <w:continuationSeparator/>
      </w:r>
    </w:p>
  </w:footnote>
  <w:footnote w:id="1">
    <w:p w:rsidR="00FA2E0B" w:rsidRPr="00500665" w:rsidRDefault="00FA2E0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015F6C">
          <w:rPr>
            <w:rStyle w:val="Lienhypertexte"/>
          </w:rPr>
          <w:t>http://www1.brocade.com/downloads/documents/html_product_manuals/FI_08001_FCX/GUID-0A3F5F41-7195-4D12-8E46-39C29D8DDD0E.html</w:t>
        </w:r>
      </w:hyperlink>
    </w:p>
  </w:footnote>
  <w:footnote w:id="2">
    <w:p w:rsidR="00FA2E0B" w:rsidRPr="00EC17B8" w:rsidRDefault="00FA2E0B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proofErr w:type="spellStart"/>
      <w:r w:rsidRPr="00FF1AAE">
        <w:t>Brocade</w:t>
      </w:r>
      <w:proofErr w:type="spellEnd"/>
      <w:r w:rsidRPr="00FF1AAE">
        <w:t xml:space="preserve"> </w:t>
      </w:r>
      <w:proofErr w:type="spellStart"/>
      <w:r w:rsidRPr="00FF1AAE">
        <w:t>Fabric</w:t>
      </w:r>
      <w:proofErr w:type="spellEnd"/>
      <w:r w:rsidRPr="00FF1AAE">
        <w:t xml:space="preserve"> OS </w:t>
      </w:r>
      <w:proofErr w:type="spellStart"/>
      <w:r w:rsidRPr="00FF1AAE">
        <w:t>Password</w:t>
      </w:r>
      <w:proofErr w:type="spellEnd"/>
      <w:r w:rsidRPr="00FF1AAE">
        <w:t xml:space="preserve"> </w:t>
      </w:r>
      <w:proofErr w:type="spellStart"/>
      <w:r w:rsidRPr="00FF1AAE">
        <w:t>Recovery</w:t>
      </w:r>
      <w:proofErr w:type="spellEnd"/>
      <w:r w:rsidRPr="00FF1AAE">
        <w:t xml:space="preserve"> Notes</w:t>
      </w:r>
    </w:p>
  </w:footnote>
  <w:footnote w:id="3">
    <w:p w:rsidR="00FA2E0B" w:rsidRPr="00EC17B8" w:rsidRDefault="00FA2E0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015F6C">
          <w:rPr>
            <w:rStyle w:val="Lienhypertexte"/>
          </w:rPr>
          <w:t>http://community.brocade.com/t5/User-Contributed/How-To-Find-Default-Username-and-Password/ta-p/36420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73" w:type="dxa"/>
      <w:tblInd w:w="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50"/>
      <w:gridCol w:w="5953"/>
      <w:gridCol w:w="2170"/>
    </w:tblGrid>
    <w:tr w:rsidR="00FA2E0B" w:rsidRPr="002E638C" w:rsidTr="002E638C">
      <w:trPr>
        <w:trHeight w:val="720"/>
      </w:trPr>
      <w:tc>
        <w:tcPr>
          <w:tcW w:w="1550" w:type="dxa"/>
          <w:vAlign w:val="center"/>
        </w:tcPr>
        <w:p w:rsidR="00FA2E0B" w:rsidRPr="002E638C" w:rsidRDefault="00FA2E0B" w:rsidP="00F723E7">
          <w:pPr>
            <w:pStyle w:val="En-tte"/>
            <w:spacing w:before="60" w:after="60"/>
            <w:rPr>
              <w:rFonts w:asciiTheme="minorHAnsi" w:hAnsiTheme="minorHAnsi"/>
            </w:rPr>
          </w:pPr>
          <w:r w:rsidRPr="002E638C">
            <w:rPr>
              <w:rFonts w:asciiTheme="minorHAnsi" w:hAnsiTheme="minorHAnsi"/>
              <w:lang w:val="fr-CH" w:eastAsia="fr-CH"/>
            </w:rPr>
            <w:drawing>
              <wp:inline distT="0" distB="0" distL="0" distR="0">
                <wp:extent cx="704850" cy="428625"/>
                <wp:effectExtent l="0" t="0" r="0" b="9525"/>
                <wp:docPr id="4" name="Image 4" descr="banner_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 descr="banner_f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vAlign w:val="center"/>
        </w:tcPr>
        <w:p w:rsidR="00FA2E0B" w:rsidRPr="002E638C" w:rsidRDefault="00FA2E0B" w:rsidP="002116B4">
          <w:pPr>
            <w:pStyle w:val="En-tte"/>
            <w:spacing w:before="60" w:after="60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Rack </w:t>
          </w:r>
          <w:r>
            <w:rPr>
              <w:lang w:val="fr-CH" w:eastAsia="fr-CH"/>
            </w:rPr>
            <w:drawing>
              <wp:inline distT="0" distB="0" distL="0" distR="0" wp14:anchorId="49C49720" wp14:editId="15E695E5">
                <wp:extent cx="581025" cy="472927"/>
                <wp:effectExtent l="0" t="0" r="0" b="381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defix texte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670" cy="498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0" w:type="dxa"/>
        </w:tcPr>
        <w:p w:rsidR="00FA2E0B" w:rsidRPr="002E638C" w:rsidRDefault="00FA2E0B" w:rsidP="002E638C">
          <w:pPr>
            <w:pStyle w:val="En-tte"/>
            <w:spacing w:before="60" w:after="60"/>
            <w:rPr>
              <w:rFonts w:asciiTheme="minorHAnsi" w:hAnsiTheme="minorHAnsi"/>
              <w:b/>
              <w:color w:val="C0C0C0"/>
              <w:sz w:val="10"/>
              <w:lang w:val="fr-CH"/>
            </w:rPr>
          </w:pPr>
          <w:r w:rsidRPr="002E638C">
            <w:rPr>
              <w:rFonts w:asciiTheme="minorHAnsi" w:hAnsiTheme="minorHAnsi"/>
              <w:b/>
              <w:color w:val="C0C0C0"/>
              <w:sz w:val="10"/>
              <w:lang w:val="fr-CH" w:eastAsia="fr-CH"/>
            </w:rPr>
            <w:drawing>
              <wp:inline distT="0" distB="0" distL="0" distR="0">
                <wp:extent cx="514350" cy="466725"/>
                <wp:effectExtent l="0" t="0" r="0" b="9525"/>
                <wp:docPr id="9" name="Image 9" descr="LB-ET_rvb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LB-ET_rvb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2E638C">
            <w:rPr>
              <w:rFonts w:asciiTheme="minorHAnsi" w:hAnsiTheme="minorHAnsi"/>
              <w:b/>
              <w:color w:val="C0C0C0"/>
              <w:sz w:val="10"/>
              <w:lang w:val="fr-CH"/>
            </w:rPr>
            <w:t xml:space="preserve">  </w:t>
          </w:r>
          <w:r>
            <w:rPr>
              <w:rFonts w:asciiTheme="minorHAnsi" w:hAnsiTheme="minorHAnsi"/>
              <w:b/>
              <w:color w:val="C0C0C0"/>
              <w:sz w:val="10"/>
              <w:lang w:val="fr-CH"/>
            </w:rPr>
            <w:t xml:space="preserve">     </w:t>
          </w:r>
          <w:r w:rsidRPr="002E638C">
            <w:rPr>
              <w:rFonts w:asciiTheme="minorHAnsi" w:hAnsiTheme="minorHAnsi"/>
              <w:b/>
              <w:color w:val="C0C0C0"/>
              <w:sz w:val="10"/>
              <w:lang w:val="fr-CH"/>
            </w:rPr>
            <w:t xml:space="preserve"> </w:t>
          </w:r>
          <w:r w:rsidRPr="002E638C">
            <w:rPr>
              <w:rFonts w:asciiTheme="minorHAnsi" w:hAnsiTheme="minorHAnsi"/>
              <w:b/>
              <w:color w:val="C0C0C0"/>
              <w:sz w:val="10"/>
              <w:lang w:val="fr-CH" w:eastAsia="fr-CH"/>
            </w:rPr>
            <w:drawing>
              <wp:inline distT="0" distB="0" distL="0" distR="0">
                <wp:extent cx="504825" cy="504825"/>
                <wp:effectExtent l="0" t="0" r="9525" b="9525"/>
                <wp:docPr id="10" name="Image 10" descr="M:\2013-2014\05 Modèles\Logos\et-cpln-logo_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9" descr="M:\2013-2014\05 Modèles\Logos\et-cpln-logo_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A2E0B" w:rsidRPr="002E638C" w:rsidRDefault="00FA2E0B">
    <w:pPr>
      <w:pStyle w:val="En-tte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1047"/>
    <w:multiLevelType w:val="singleLevel"/>
    <w:tmpl w:val="596E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D757552"/>
    <w:multiLevelType w:val="hybridMultilevel"/>
    <w:tmpl w:val="37A2C0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33C50"/>
    <w:multiLevelType w:val="hybridMultilevel"/>
    <w:tmpl w:val="E2F2F28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47016"/>
    <w:multiLevelType w:val="hybridMultilevel"/>
    <w:tmpl w:val="8AA2FC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C19F2"/>
    <w:multiLevelType w:val="multilevel"/>
    <w:tmpl w:val="E8BE72EC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8110EF0"/>
    <w:multiLevelType w:val="hybridMultilevel"/>
    <w:tmpl w:val="669830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F4D5F"/>
    <w:multiLevelType w:val="hybridMultilevel"/>
    <w:tmpl w:val="15A6FB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A638E"/>
    <w:multiLevelType w:val="hybridMultilevel"/>
    <w:tmpl w:val="01DEDB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069E8"/>
    <w:multiLevelType w:val="multilevel"/>
    <w:tmpl w:val="5072B9B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0"/>
  </w:num>
  <w:num w:numId="3">
    <w:abstractNumId w:val="8"/>
  </w:num>
  <w:num w:numId="4">
    <w:abstractNumId w:val="8"/>
  </w:num>
  <w:num w:numId="5">
    <w:abstractNumId w:val="8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  <w:num w:numId="13">
    <w:abstractNumId w:val="5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9F"/>
    <w:rsid w:val="00005801"/>
    <w:rsid w:val="000342A7"/>
    <w:rsid w:val="000513E7"/>
    <w:rsid w:val="000903CF"/>
    <w:rsid w:val="000A013C"/>
    <w:rsid w:val="000B1B2E"/>
    <w:rsid w:val="000C5D02"/>
    <w:rsid w:val="000C659D"/>
    <w:rsid w:val="000F5987"/>
    <w:rsid w:val="00113259"/>
    <w:rsid w:val="00124505"/>
    <w:rsid w:val="0013552C"/>
    <w:rsid w:val="00143A1A"/>
    <w:rsid w:val="001528B9"/>
    <w:rsid w:val="00152E2D"/>
    <w:rsid w:val="00154483"/>
    <w:rsid w:val="00156A53"/>
    <w:rsid w:val="00160D46"/>
    <w:rsid w:val="00180EA9"/>
    <w:rsid w:val="001977F1"/>
    <w:rsid w:val="001E7AC1"/>
    <w:rsid w:val="00201F94"/>
    <w:rsid w:val="0020743F"/>
    <w:rsid w:val="002116B4"/>
    <w:rsid w:val="00214C6A"/>
    <w:rsid w:val="00237045"/>
    <w:rsid w:val="0025580E"/>
    <w:rsid w:val="0026656B"/>
    <w:rsid w:val="00274815"/>
    <w:rsid w:val="00294621"/>
    <w:rsid w:val="002C6198"/>
    <w:rsid w:val="002D17EB"/>
    <w:rsid w:val="002E3280"/>
    <w:rsid w:val="002E638C"/>
    <w:rsid w:val="002F251C"/>
    <w:rsid w:val="00303EF1"/>
    <w:rsid w:val="00343704"/>
    <w:rsid w:val="00344474"/>
    <w:rsid w:val="003668DB"/>
    <w:rsid w:val="00385247"/>
    <w:rsid w:val="00397311"/>
    <w:rsid w:val="003A2B56"/>
    <w:rsid w:val="003A387D"/>
    <w:rsid w:val="003B7B8C"/>
    <w:rsid w:val="003C68F8"/>
    <w:rsid w:val="00477AB7"/>
    <w:rsid w:val="004A1663"/>
    <w:rsid w:val="004A193F"/>
    <w:rsid w:val="004E3555"/>
    <w:rsid w:val="004F73A7"/>
    <w:rsid w:val="00500665"/>
    <w:rsid w:val="0051528D"/>
    <w:rsid w:val="00522D8C"/>
    <w:rsid w:val="0052435E"/>
    <w:rsid w:val="00551DDA"/>
    <w:rsid w:val="005877FD"/>
    <w:rsid w:val="005A1C65"/>
    <w:rsid w:val="005B7094"/>
    <w:rsid w:val="005C10B9"/>
    <w:rsid w:val="005D2678"/>
    <w:rsid w:val="005D586C"/>
    <w:rsid w:val="005E410B"/>
    <w:rsid w:val="00601943"/>
    <w:rsid w:val="00622BD3"/>
    <w:rsid w:val="00625B0D"/>
    <w:rsid w:val="006268D1"/>
    <w:rsid w:val="00690163"/>
    <w:rsid w:val="00693AE3"/>
    <w:rsid w:val="006B0925"/>
    <w:rsid w:val="007268AB"/>
    <w:rsid w:val="00743AA5"/>
    <w:rsid w:val="00773238"/>
    <w:rsid w:val="00775C73"/>
    <w:rsid w:val="007A3608"/>
    <w:rsid w:val="007A565F"/>
    <w:rsid w:val="007C103A"/>
    <w:rsid w:val="007C1CC0"/>
    <w:rsid w:val="007F24AF"/>
    <w:rsid w:val="00864F1C"/>
    <w:rsid w:val="00873D8A"/>
    <w:rsid w:val="008A5FF7"/>
    <w:rsid w:val="008B221A"/>
    <w:rsid w:val="008E7C62"/>
    <w:rsid w:val="009075F9"/>
    <w:rsid w:val="00936D59"/>
    <w:rsid w:val="00955A02"/>
    <w:rsid w:val="009705AF"/>
    <w:rsid w:val="009F01D3"/>
    <w:rsid w:val="009F2571"/>
    <w:rsid w:val="009F41BB"/>
    <w:rsid w:val="00A25E90"/>
    <w:rsid w:val="00A4289F"/>
    <w:rsid w:val="00A50CD6"/>
    <w:rsid w:val="00A52E85"/>
    <w:rsid w:val="00A61A5F"/>
    <w:rsid w:val="00A74DB0"/>
    <w:rsid w:val="00AA2EDE"/>
    <w:rsid w:val="00AC112F"/>
    <w:rsid w:val="00AC38AF"/>
    <w:rsid w:val="00B10181"/>
    <w:rsid w:val="00B11D61"/>
    <w:rsid w:val="00B372D6"/>
    <w:rsid w:val="00B9790B"/>
    <w:rsid w:val="00BA2556"/>
    <w:rsid w:val="00BB62A8"/>
    <w:rsid w:val="00BC7596"/>
    <w:rsid w:val="00C112B3"/>
    <w:rsid w:val="00C227DF"/>
    <w:rsid w:val="00C343F6"/>
    <w:rsid w:val="00C746F2"/>
    <w:rsid w:val="00C7696B"/>
    <w:rsid w:val="00C8302A"/>
    <w:rsid w:val="00C959BF"/>
    <w:rsid w:val="00C97A33"/>
    <w:rsid w:val="00CA17C7"/>
    <w:rsid w:val="00CC22E4"/>
    <w:rsid w:val="00CD3A70"/>
    <w:rsid w:val="00CD5CA6"/>
    <w:rsid w:val="00CE311B"/>
    <w:rsid w:val="00D041DF"/>
    <w:rsid w:val="00D1339B"/>
    <w:rsid w:val="00D37DE5"/>
    <w:rsid w:val="00D4713D"/>
    <w:rsid w:val="00D474B8"/>
    <w:rsid w:val="00D54794"/>
    <w:rsid w:val="00D65116"/>
    <w:rsid w:val="00DE3B2C"/>
    <w:rsid w:val="00DF281B"/>
    <w:rsid w:val="00DF6E3F"/>
    <w:rsid w:val="00E16236"/>
    <w:rsid w:val="00E65472"/>
    <w:rsid w:val="00E73E7D"/>
    <w:rsid w:val="00E849AE"/>
    <w:rsid w:val="00EB73B3"/>
    <w:rsid w:val="00EC17B8"/>
    <w:rsid w:val="00EF6B8B"/>
    <w:rsid w:val="00F10B00"/>
    <w:rsid w:val="00F11C62"/>
    <w:rsid w:val="00F56AE1"/>
    <w:rsid w:val="00F57F17"/>
    <w:rsid w:val="00F63284"/>
    <w:rsid w:val="00F723E7"/>
    <w:rsid w:val="00F75390"/>
    <w:rsid w:val="00F816BC"/>
    <w:rsid w:val="00F920DB"/>
    <w:rsid w:val="00FA2E0B"/>
    <w:rsid w:val="00FB52D6"/>
    <w:rsid w:val="00FD2439"/>
    <w:rsid w:val="00FD62C6"/>
    <w:rsid w:val="00FF1AAE"/>
    <w:rsid w:val="00F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;"/>
  <w14:docId w14:val="05B2F269"/>
  <w15:docId w15:val="{053F6BBE-85B6-4371-82C7-FC00C2C2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42A"/>
    <w:pPr>
      <w:spacing w:after="120"/>
      <w:jc w:val="both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next w:val="Normal"/>
    <w:qFormat/>
    <w:rsid w:val="00AC112F"/>
    <w:pPr>
      <w:keepNext/>
      <w:numPr>
        <w:numId w:val="9"/>
      </w:numPr>
      <w:spacing w:before="120"/>
      <w:outlineLvl w:val="0"/>
    </w:pPr>
    <w:rPr>
      <w:rFonts w:asciiTheme="minorHAnsi" w:hAnsiTheme="minorHAnsi"/>
      <w:b/>
      <w:noProof/>
      <w:kern w:val="28"/>
      <w:sz w:val="28"/>
      <w:lang w:val="fr-FR" w:eastAsia="fr-FR"/>
    </w:rPr>
  </w:style>
  <w:style w:type="paragraph" w:styleId="Titre2">
    <w:name w:val="heading 2"/>
    <w:next w:val="Normal"/>
    <w:qFormat/>
    <w:rsid w:val="00AC112F"/>
    <w:pPr>
      <w:keepNext/>
      <w:numPr>
        <w:ilvl w:val="1"/>
        <w:numId w:val="9"/>
      </w:numPr>
      <w:spacing w:before="120"/>
      <w:outlineLvl w:val="1"/>
    </w:pPr>
    <w:rPr>
      <w:rFonts w:asciiTheme="minorHAnsi" w:hAnsiTheme="minorHAnsi"/>
      <w:b/>
      <w:noProof/>
      <w:sz w:val="24"/>
      <w:lang w:val="fr-FR" w:eastAsia="fr-FR"/>
    </w:rPr>
  </w:style>
  <w:style w:type="paragraph" w:styleId="Titre3">
    <w:name w:val="heading 3"/>
    <w:basedOn w:val="Normal"/>
    <w:next w:val="Normal"/>
    <w:qFormat/>
    <w:rsid w:val="00AC112F"/>
    <w:pPr>
      <w:keepNext/>
      <w:numPr>
        <w:ilvl w:val="2"/>
        <w:numId w:val="9"/>
      </w:numPr>
      <w:spacing w:before="120" w:after="0"/>
      <w:outlineLvl w:val="2"/>
    </w:pPr>
    <w:rPr>
      <w:b/>
      <w:i/>
    </w:rPr>
  </w:style>
  <w:style w:type="paragraph" w:styleId="Titre4">
    <w:name w:val="heading 4"/>
    <w:basedOn w:val="Normal"/>
    <w:next w:val="Normal"/>
    <w:qFormat/>
    <w:rsid w:val="00AC112F"/>
    <w:pPr>
      <w:keepNext/>
      <w:numPr>
        <w:ilvl w:val="3"/>
        <w:numId w:val="9"/>
      </w:numPr>
      <w:spacing w:before="240" w:after="60"/>
      <w:outlineLvl w:val="3"/>
    </w:pPr>
    <w:rPr>
      <w:b/>
    </w:rPr>
  </w:style>
  <w:style w:type="paragraph" w:styleId="Titre5">
    <w:name w:val="heading 5"/>
    <w:basedOn w:val="Normal"/>
    <w:next w:val="Normal"/>
    <w:qFormat/>
    <w:rsid w:val="00AC112F"/>
    <w:pPr>
      <w:numPr>
        <w:ilvl w:val="4"/>
        <w:numId w:val="9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rsid w:val="00AC112F"/>
    <w:pPr>
      <w:numPr>
        <w:ilvl w:val="5"/>
        <w:numId w:val="9"/>
      </w:num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qFormat/>
    <w:rsid w:val="00AC112F"/>
    <w:pPr>
      <w:numPr>
        <w:ilvl w:val="6"/>
        <w:numId w:val="9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rsid w:val="00AC112F"/>
    <w:pPr>
      <w:numPr>
        <w:ilvl w:val="7"/>
        <w:numId w:val="9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rsid w:val="00AC112F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pPr>
      <w:jc w:val="center"/>
    </w:pPr>
    <w:rPr>
      <w:rFonts w:ascii="Arial" w:hAnsi="Arial"/>
      <w:noProof/>
      <w:sz w:val="24"/>
      <w:lang w:val="fr-FR" w:eastAsia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de">
    <w:name w:val="Code"/>
    <w:rPr>
      <w:rFonts w:ascii="Courier New" w:hAnsi="Courier New"/>
      <w:noProof/>
      <w:sz w:val="18"/>
      <w:lang w:val="fr-FR" w:eastAsia="fr-FR"/>
    </w:rPr>
  </w:style>
  <w:style w:type="paragraph" w:styleId="Titre">
    <w:name w:val="Title"/>
    <w:qFormat/>
    <w:rsid w:val="002E638C"/>
    <w:pPr>
      <w:spacing w:before="120" w:after="120"/>
      <w:jc w:val="center"/>
      <w:outlineLvl w:val="0"/>
    </w:pPr>
    <w:rPr>
      <w:rFonts w:asciiTheme="minorHAnsi" w:hAnsiTheme="minorHAnsi"/>
      <w:b/>
      <w:noProof/>
      <w:kern w:val="28"/>
      <w:sz w:val="28"/>
      <w:lang w:val="fr-FR" w:eastAsia="fr-FR"/>
    </w:rPr>
  </w:style>
  <w:style w:type="paragraph" w:styleId="Textedebulles">
    <w:name w:val="Balloon Text"/>
    <w:basedOn w:val="Normal"/>
    <w:link w:val="TextedebullesCar"/>
    <w:rsid w:val="00F56AE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56AE1"/>
    <w:rPr>
      <w:rFonts w:ascii="Tahoma" w:hAnsi="Tahoma" w:cs="Tahoma"/>
      <w:sz w:val="16"/>
      <w:szCs w:val="16"/>
      <w:lang w:val="fr-FR" w:eastAsia="fr-FR"/>
    </w:rPr>
  </w:style>
  <w:style w:type="character" w:customStyle="1" w:styleId="Codecar">
    <w:name w:val="Code_car"/>
    <w:basedOn w:val="Policepardfaut"/>
    <w:uiPriority w:val="1"/>
    <w:qFormat/>
    <w:rsid w:val="00D65116"/>
    <w:rPr>
      <w:rFonts w:ascii="Courier New" w:hAnsi="Courier New" w:cs="Courier New"/>
      <w:sz w:val="24"/>
    </w:rPr>
  </w:style>
  <w:style w:type="paragraph" w:styleId="Paragraphedeliste">
    <w:name w:val="List Paragraph"/>
    <w:basedOn w:val="Normal"/>
    <w:uiPriority w:val="34"/>
    <w:qFormat/>
    <w:rsid w:val="00A4289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97A33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kern w:val="0"/>
      <w:sz w:val="32"/>
      <w:szCs w:val="32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97A3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97A33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semiHidden/>
    <w:unhideWhenUsed/>
    <w:rsid w:val="00EC17B8"/>
    <w:pPr>
      <w:spacing w:after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EC17B8"/>
    <w:rPr>
      <w:rFonts w:asciiTheme="minorHAnsi" w:hAnsiTheme="minorHAnsi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EC17B8"/>
    <w:rPr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BA2556"/>
    <w:pPr>
      <w:spacing w:after="100"/>
      <w:ind w:left="2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7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746F2"/>
    <w:rPr>
      <w:rFonts w:ascii="Courier New" w:hAnsi="Courier New" w:cs="Courier New"/>
    </w:rPr>
  </w:style>
  <w:style w:type="character" w:styleId="Lienhypertextesuivivisit">
    <w:name w:val="FollowedHyperlink"/>
    <w:basedOn w:val="Policepardfaut"/>
    <w:semiHidden/>
    <w:unhideWhenUsed/>
    <w:rsid w:val="005B7094"/>
    <w:rPr>
      <w:color w:val="954F72" w:themeColor="followed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E6547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9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3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0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12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285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07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49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53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669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8074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9723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0288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8285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345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5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1091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80248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80257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community.brocade.com/t5/User-Contributed/How-To-Find-Default-Username-and-Password/ta-p/36420" TargetMode="External"/><Relationship Id="rId1" Type="http://schemas.openxmlformats.org/officeDocument/2006/relationships/hyperlink" Target="http://www1.brocade.com/downloads/documents/html_product_manuals/FI_08001_FCX/GUID-0A3F5F41-7195-4D12-8E46-39C29D8DDD0E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59C45-2E27-4A6B-A145-30BA4C72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866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Mod_Info_ICT_2013</vt:lpstr>
    </vt:vector>
  </TitlesOfParts>
  <Company>CPLN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Mod_Info_ICT_2013</dc:title>
  <dc:subject/>
  <dc:creator>Marc Dumont</dc:creator>
  <cp:keywords>Modèle ICT</cp:keywords>
  <cp:lastModifiedBy>Schallenberger Gabriel</cp:lastModifiedBy>
  <cp:revision>113</cp:revision>
  <cp:lastPrinted>2015-08-24T09:07:00Z</cp:lastPrinted>
  <dcterms:created xsi:type="dcterms:W3CDTF">2015-08-21T12:56:00Z</dcterms:created>
  <dcterms:modified xsi:type="dcterms:W3CDTF">2018-01-08T15:17:00Z</dcterms:modified>
</cp:coreProperties>
</file>