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="240" w:lineRule="auto"/>
        <w:jc w:val="center"/>
        <w:rPr>
          <w:rFonts w:ascii="Playfair Display" w:cs="Playfair Display" w:eastAsia="Playfair Display" w:hAnsi="Playfair Display"/>
          <w:color w:val="393939"/>
          <w:sz w:val="52"/>
          <w:szCs w:val="52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393939"/>
          <w:sz w:val="52"/>
          <w:szCs w:val="52"/>
          <w:rtl w:val="0"/>
        </w:rPr>
        <w:t xml:space="preserve">Luna Ye</w:t>
      </w:r>
    </w:p>
    <w:p w:rsidR="00000000" w:rsidDel="00000000" w:rsidP="00000000" w:rsidRDefault="00000000" w:rsidRPr="00000000" w14:paraId="00000002">
      <w:pPr>
        <w:spacing w:after="110" w:before="240" w:line="240" w:lineRule="auto"/>
        <w:jc w:val="both"/>
        <w:rPr>
          <w:rFonts w:ascii="Times New Roman" w:cs="Times New Roman" w:eastAsia="Times New Roman" w:hAnsi="Times New Roman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color w:val="393939"/>
          <w:sz w:val="19"/>
          <w:szCs w:val="19"/>
          <w:rtl w:val="0"/>
        </w:rPr>
        <w:t xml:space="preserve">0426 850 106 | luna.lyu.ye@gmail.com | LinkedIn: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19"/>
            <w:szCs w:val="19"/>
            <w:u w:val="single"/>
            <w:rtl w:val="0"/>
          </w:rPr>
          <w:t xml:space="preserve">linkedin.com/in/lyu-luna-ye/</w:t>
        </w:r>
      </w:hyperlink>
      <w:r w:rsidDel="00000000" w:rsidR="00000000" w:rsidRPr="00000000">
        <w:rPr>
          <w:rFonts w:ascii="Calibri" w:cs="Calibri" w:eastAsia="Calibri" w:hAnsi="Calibri"/>
          <w:color w:val="393939"/>
          <w:sz w:val="19"/>
          <w:szCs w:val="19"/>
          <w:rtl w:val="0"/>
        </w:rPr>
        <w:t xml:space="preserve"> | Full Working Rights in AU | </w:t>
      </w:r>
      <w:hyperlink r:id="rId8">
        <w:r w:rsidDel="00000000" w:rsidR="00000000" w:rsidRPr="00000000">
          <w:rPr>
            <w:rFonts w:ascii="Calibri" w:cs="Calibri" w:eastAsia="Calibri" w:hAnsi="Calibri"/>
            <w:color w:val="393939"/>
            <w:sz w:val="19"/>
            <w:szCs w:val="19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240" w:lineRule="auto"/>
        <w:rPr>
          <w:rFonts w:ascii="Times New Roman" w:cs="Times New Roman" w:eastAsia="Times New Roman" w:hAnsi="Times New Roman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1"/>
          <w:szCs w:val="21"/>
          <w:u w:val="single"/>
          <w:rtl w:val="0"/>
        </w:rPr>
        <w:t xml:space="preserve">SKILLS AND KEY COMPETENCIES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ab/>
        <w:tab/>
        <w:tab/>
        <w:tab/>
        <w:tab/>
        <w:tab/>
        <w:tab/>
        <w:tab/>
        <w:tab/>
      </w:r>
    </w:p>
    <w:tbl>
      <w:tblPr>
        <w:tblStyle w:val="Table1"/>
        <w:tblW w:w="9330.0" w:type="dxa"/>
        <w:jc w:val="left"/>
        <w:tblInd w:w="16.999999999999993" w:type="dxa"/>
        <w:tblLayout w:type="fixed"/>
        <w:tblLook w:val="0000"/>
      </w:tblPr>
      <w:tblGrid>
        <w:gridCol w:w="4800"/>
        <w:gridCol w:w="4530"/>
        <w:tblGridChange w:id="0">
          <w:tblGrid>
            <w:gridCol w:w="4800"/>
            <w:gridCol w:w="453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AI workflow design and enablement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Workflow discovery, task mapping, process redesign and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SOP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LLM and building tools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Claude Code, Codex, ChatGPT, Kimi, AutoGLM, Canva AI and AI-assisted prototyping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AI 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gent and skill development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Skills, prompts and agent workflows for short-form drama production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, market research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and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Growth and GTM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Go-to-market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dat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a-backed growth strategy, MVP experimentation,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SEO&amp;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GEO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SEM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Marketing systems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Salesforce, Mailchimp, HubSpot, Meta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 ads,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Google ads and performance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20"/>
                <w:tab w:val="left" w:leader="none" w:pos="283"/>
              </w:tabs>
              <w:spacing w:after="80" w:line="240" w:lineRule="auto"/>
              <w:rPr>
                <w:rFonts w:ascii="Calibri" w:cs="Calibri" w:eastAsia="Calibri" w:hAnsi="Calibri"/>
                <w:color w:val="393939"/>
                <w:sz w:val="19"/>
                <w:szCs w:val="19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Content and distribution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: Short-form video production, KOL/KOC/UGC campaign, paid and organic socia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web and brand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WORK EXPERIENCE 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spacing w:after="2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Luna Green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 xml:space="preserve"> (Personal Brand)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Sep 2025 — Present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Creator and Entrepreneur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Creator-led content: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Build and publish short-form content on RedNote and Douyin (China’s TikTok equivalent) covering AI workflows, growth mechanics, content operations and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digital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marketing.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Client campaigns: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Created launch and feature content for clients like Google, Amazon, Canva AI and Kimi AI.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Audience growth: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Built a combined visible platform following of 2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k+ across RedNote and Douyin, including 114k+ likes and saves on RedNote content.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Career mentoring: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Mentored 50+ marketing graduates transitioning into new roles and fields, supporting interview preparation and building a peer community for ongoing learning.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International consulting: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Advised 20+ Chinese brands on international expansion across consumer goods, AI software and hardware, and SaaS.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AI workflow design: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Revamped AI-enabled marketing workflows to help teams improve speed and consistency.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Selected projects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include: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Halali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MuseKey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AI Ski Coach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Everythink Travel Pillow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and additional client engagements (see Selected AI and Product Projects below for details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single"/>
          <w:rtl w:val="0"/>
        </w:rPr>
        <w:t xml:space="preserve">VIEW PORTFOLIO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Beyond Blue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Apr 2025 —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Senior Digital Marketing Advisor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Channel strategy: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Developed and executed digital marketing strategies across social media, SEO and paid search to expand audience reach and improve campaign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Measurement and optimisation: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Leveraged GA4, Google Ads, Google Tag Manager and Search Console to support website measurement, event setup and ongoing optimisation.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Marketing automation: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Supported Salesforce Marketing Cloud campaign delivery and coordinated audience segmentation, customer journeys and reporting with the automation team.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Cross-functional delivery: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Partnered with product and external organisations to deliver web experience improvements, coordinate content planning and support reporting.</w:t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MSI Reproductive Choices</w:t>
        <w:tab/>
        <w:t xml:space="preserve"> (Australia)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Dec 2022 — Apr 2025</w:t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Manager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Digital marketing strategy: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Oversaw annual and monthly marketing plans, performance reporting and strategic recommendations across digital channels.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SEO and SEM performance: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Increased organic traffic by 39%, organic leads by 100% and Google Ads conversions by 34% within six months.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Integrated campaigns: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Developed and executed campaigns across owned and paid channels, achieving an average campaign conversion rate of 21%.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0"/>
          <w:tab w:val="left" w:leader="none" w:pos="283"/>
        </w:tabs>
        <w:spacing w:after="20" w:line="240" w:lineRule="auto"/>
        <w:ind w:left="284" w:hanging="284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Policy and advocacy: 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Supported the policy and public affairs team in advocating for government policy and funding changes to provide support for women facing challenging life circumstances.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Bodycare Workplace Solutions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ab/>
        <w:tab/>
        <w:tab/>
        <w:tab/>
        <w:tab/>
        <w:t xml:space="preserve">        Oct 2021 — Dec 2022</w:t>
      </w:r>
    </w:p>
    <w:p w:rsidR="00000000" w:rsidDel="00000000" w:rsidP="00000000" w:rsidRDefault="00000000" w:rsidRPr="00000000" w14:paraId="00000026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Executive</w:t>
      </w:r>
    </w:p>
    <w:p w:rsidR="00000000" w:rsidDel="00000000" w:rsidP="00000000" w:rsidRDefault="00000000" w:rsidRPr="00000000" w14:paraId="00000027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TLC Healthcare</w:t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ab/>
        <w:tab/>
        <w:tab/>
        <w:tab/>
        <w:tab/>
        <w:t xml:space="preserve">      </w:t>
        <w:tab/>
        <w:t xml:space="preserve">        Sep 2020 — Oct 2021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93939"/>
          <w:sz w:val="20"/>
          <w:szCs w:val="20"/>
          <w:u w:val="none"/>
          <w:rtl w:val="0"/>
        </w:rPr>
        <w:t xml:space="preserve">Marketing Assistant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18"/>
          <w:szCs w:val="18"/>
          <w:u w:val="single"/>
          <w:rtl w:val="0"/>
        </w:rPr>
        <w:tab/>
        <w:tab/>
        <w:tab/>
        <w:tab/>
        <w:tab/>
        <w:tab/>
        <w:tab/>
        <w:tab/>
        <w:t xml:space="preserve">       </w:t>
        <w:tab/>
        <w:tab/>
        <w:tab/>
        <w:tab/>
      </w:r>
    </w:p>
    <w:p w:rsidR="00000000" w:rsidDel="00000000" w:rsidP="00000000" w:rsidRDefault="00000000" w:rsidRPr="00000000" w14:paraId="0000002C">
      <w:pPr>
        <w:spacing w:after="10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Master of Arts Marketing and Communications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 xml:space="preserve"> University of Melbourne</w:t>
        <w:tab/>
        <w:tab/>
        <w:tab/>
        <w:tab/>
        <w:t xml:space="preserve">      2019</w:t>
      </w:r>
    </w:p>
    <w:p w:rsidR="00000000" w:rsidDel="00000000" w:rsidP="00000000" w:rsidRDefault="00000000" w:rsidRPr="00000000" w14:paraId="0000002D">
      <w:pPr>
        <w:spacing w:after="10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Bachelor of Economics and International Trade</w:t>
        <w:tab/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 xml:space="preserve"> Zhongnan University of Economics and Law</w:t>
        <w:tab/>
        <w:tab/>
        <w:t xml:space="preserve">      2017</w:t>
      </w:r>
    </w:p>
    <w:p w:rsidR="00000000" w:rsidDel="00000000" w:rsidP="00000000" w:rsidRDefault="00000000" w:rsidRPr="00000000" w14:paraId="0000002E">
      <w:pPr>
        <w:spacing w:after="14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none"/>
          <w:rtl w:val="0"/>
        </w:rPr>
        <w:t xml:space="preserve">Leading People and Teams Specialisation</w:t>
      </w:r>
      <w:r w:rsidDel="00000000" w:rsidR="00000000" w:rsidRPr="00000000">
        <w:rPr>
          <w:rFonts w:ascii="Calibri" w:cs="Calibri" w:eastAsia="Calibri" w:hAnsi="Calibri"/>
          <w:color w:val="393939"/>
          <w:sz w:val="20"/>
          <w:szCs w:val="20"/>
          <w:u w:val="none"/>
          <w:rtl w:val="0"/>
        </w:rPr>
        <w:tab/>
        <w:tab/>
        <w:t xml:space="preserve"> University of Michigan</w:t>
        <w:tab/>
        <w:tab/>
        <w:tab/>
        <w:tab/>
        <w:t xml:space="preserve"> 2024-25</w:t>
      </w:r>
    </w:p>
    <w:p w:rsidR="00000000" w:rsidDel="00000000" w:rsidP="00000000" w:rsidRDefault="00000000" w:rsidRPr="00000000" w14:paraId="0000002F">
      <w:pPr>
        <w:spacing w:after="140" w:line="240" w:lineRule="auto"/>
        <w:rPr>
          <w:rFonts w:ascii="Calibri" w:cs="Calibri" w:eastAsia="Calibri" w:hAnsi="Calibri"/>
          <w:color w:val="393939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93939"/>
          <w:sz w:val="20"/>
          <w:szCs w:val="20"/>
          <w:u w:val="single"/>
          <w:rtl w:val="0"/>
        </w:rPr>
        <w:t xml:space="preserve">PROJECTS</w:t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Table2"/>
        <w:tblW w:w="945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15"/>
        <w:gridCol w:w="7935"/>
        <w:tblGridChange w:id="0">
          <w:tblGrid>
            <w:gridCol w:w="1515"/>
            <w:gridCol w:w="7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Halali</w:t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Developed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trackable marketplace growth approach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spanning acquisition, activation, referrals, lifecycle marketing, creator/KOL partnerships, community and measurement.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Led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content operations and app-growth planning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, prototyping an AI-assisted dashboard for content planning and operational visibility.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19"/>
                <w:szCs w:val="19"/>
                <w:u w:val="no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MuseKey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Conducted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international market research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into target audiences, category trends and competitive positioning for a pre-launch AI-powered music hardware product for children.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Developed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early product positioning and go-to-market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plan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before launch.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AI Ski Coach</w:t>
            </w:r>
          </w:p>
        </w:tc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Built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market research and go-to-market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 for an AI-powered ski coaching concept.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20"/>
                <w:tab w:val="left" w:leader="none" w:pos="298"/>
              </w:tabs>
              <w:spacing w:after="20" w:lineRule="auto"/>
              <w:ind w:left="284" w:hanging="284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Synthesised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competitor traffic, search demand and user discussions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into initial customer profiles and channel-testing recommendations.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40" w:lineRule="auto"/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Everythink Travel Pillow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20"/>
                <w:tab w:val="left" w:leader="none" w:pos="298"/>
              </w:tabs>
              <w:spacing w:after="140" w:lineRule="auto"/>
              <w:ind w:left="298" w:hanging="299"/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93939"/>
                <w:sz w:val="20"/>
                <w:szCs w:val="20"/>
                <w:u w:val="none"/>
                <w:rtl w:val="0"/>
              </w:rPr>
              <w:t xml:space="preserve">KOL and user-generated content (UGC) campaign development </w:t>
            </w:r>
            <w:r w:rsidDel="00000000" w:rsidR="00000000" w:rsidRPr="00000000">
              <w:rPr>
                <w:rFonts w:ascii="Calibri" w:cs="Calibri" w:eastAsia="Calibri" w:hAnsi="Calibri"/>
                <w:color w:val="393939"/>
                <w:sz w:val="20"/>
                <w:szCs w:val="20"/>
                <w:u w:val="none"/>
                <w:rtl w:val="0"/>
              </w:rPr>
              <w:t xml:space="preserve">for a travel sleep and neck pillow product, contributing to creator-led marketing and consumer acquisition.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layfair Display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851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851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851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8513D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8513D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8513D"/>
    <w:rPr>
      <w:rFonts w:cstheme="majorBidi" w:eastAsiaTheme="majorEastAsia"/>
      <w:color w:val="0f4761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8513D"/>
    <w:rPr>
      <w:rFonts w:cstheme="majorBidi" w:eastAsiaTheme="majorEastAsia"/>
      <w:i w:val="1"/>
      <w:iCs w:val="1"/>
      <w:color w:val="0f4761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8513D"/>
    <w:rPr>
      <w:rFonts w:cstheme="majorBidi" w:eastAsiaTheme="majorEastAsia"/>
      <w:color w:val="0f4761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8513D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8513D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8513D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8513D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98513D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98513D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851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8513D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9851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851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851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513D"/>
    <w:rPr>
      <w:i w:val="1"/>
      <w:iCs w:val="1"/>
      <w:color w:val="0f4761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98513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4D18F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D41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41EF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lyu-luna-ye/" TargetMode="External"/><Relationship Id="rId8" Type="http://schemas.openxmlformats.org/officeDocument/2006/relationships/hyperlink" Target="https://thatlunagreen.github.io/portfol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layfairDisplay-regular.ttf"/><Relationship Id="rId4" Type="http://schemas.openxmlformats.org/officeDocument/2006/relationships/font" Target="fonts/PlayfairDisplay-bold.ttf"/><Relationship Id="rId5" Type="http://schemas.openxmlformats.org/officeDocument/2006/relationships/font" Target="fonts/PlayfairDisplay-italic.ttf"/><Relationship Id="rId6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RyazVjf6HO8umW2i+GGdZOvdtg==">CgMxLjA4AHIhMWFzTWh2TXV1bUlBdXVuRW9PTGd3U3k4LXQ0MEJqQkwx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2026-10-10T05:36:00Z</dcterms:created>
  <dc:creator>Scott Huang</dc:creator>
</cp:coreProperties>
</file>