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Analytics and data science leader with 12+ years driving measurable ROI across Fortune 100 marketing organizations with $1B+ annual, multi-channel budgets. Deep expertise spanning experimentation &amp; causal inference, marketing mix modeling (MMM), multi-touch attribution (MTA), and customer retention/acquisition analytics. Proven track record building analytics functions from the ground up — owning roadmap, data engineering, modeling, and executive storytelling. 8+ years leading and developing cross-functional teams of data scientists, analysts, and contractors (onshore/offshore); trusted thought partner to VP- and SVP-level stakeholders on investment decisions. Recipient, AbbVie Data Scientist of the Year (2025).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for AbbVie's enterprise Marketing Mix Modeling (MMM) platform — the primary data-driven input optimizing a $1B+ annual, multi-channel, multi-brand marketing budget; solution powered by 20+ data pipelines and 20+ Bayesian regression models, managed as a continuously-evolving product</w:t>
      </w:r>
    </w:p>
    <w:p>
      <w:pPr>
        <w:pStyle w:val="ListBullet"/>
      </w:pPr>
      <w:r>
        <w:t>Leading in-house build-out of MMM capability, projected to save $2M annually in external vendor cost</w:t>
      </w:r>
    </w:p>
    <w:p>
      <w:pPr>
        <w:pStyle w:val="ListBullet"/>
      </w:pPr>
      <w:r>
        <w:t>Led design and implementation of a custom self-serve web application enabling 50+ business analysts to run interactive decision-tree analysis — saving 200+ hours/year and surfacing insights analysts previously missed</w:t>
      </w:r>
    </w:p>
    <w:p>
      <w:pPr>
        <w:pStyle w:val="ListBullet"/>
      </w:pPr>
      <w:r>
        <w:t>Built a time-series anomaly detection solution saving 600+ hours/year across the analytics organization</w:t>
      </w:r>
    </w:p>
    <w:p>
      <w:pPr>
        <w:pStyle w:val="ListBullet"/>
      </w:pPr>
      <w:r>
        <w:t>Led first-ever model-derived (GBM) MTA solution at AbbVie, extending measurement rigor beyond MMM</w:t>
      </w:r>
    </w:p>
    <w:p>
      <w:pPr>
        <w:pStyle w:val="ListBullet"/>
      </w:pPr>
      <w:r>
        <w:t>Lead 3 direct reports and 12 contractor resources (onshore/offshore); run 3 concurrent cross-functional mentorships developing career paths for aspiring data scientists</w:t>
      </w:r>
    </w:p>
    <w:p>
      <w:pPr>
        <w:pStyle w:val="ListBullet"/>
        <w:spacing w:after="160"/>
      </w:pPr>
      <w:r>
        <w:t>Recipient, AbbVie Data Scientist of the Year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Salesforce's first B2B multi-touch attribution (MTA) solution from the ground up, used to optimize marketing budget allocation impacting millions of dollars in annual spend across marketing and sales</w:t>
      </w:r>
    </w:p>
    <w:p>
      <w:pPr>
        <w:pStyle w:val="ListBullet"/>
      </w:pPr>
      <w:r>
        <w:t>Owned end-to-end delivery: roadmap definition, data engineering (BigQuery, Snowflake SQL), Python modeling, Tableau dashboarding, and executive storytelling — presenting directly to SVP stakeholders</w:t>
      </w:r>
    </w:p>
    <w:p>
      <w:pPr>
        <w:pStyle w:val="ListBullet"/>
        <w:spacing w:after="160"/>
      </w:pPr>
      <w:r>
        <w:t>Led 3 direct reports and 3 contractor resources contributing to attribution and measurement workstreams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propensity model (Python) to score and prioritize prospect conversion likelihood, replacing first-come-first-served lead handling with a data-driven priority queue for underwriters</w:t>
      </w:r>
    </w:p>
    <w:p>
      <w:pPr>
        <w:pStyle w:val="ListBullet"/>
      </w:pPr>
      <w:r>
        <w:t>Drove an increase in new customer acquisition, generating ~$670K in incremental annual written premium</w:t>
      </w:r>
    </w:p>
    <w:p>
      <w:pPr>
        <w:pStyle w:val="ListBullet"/>
        <w:spacing w:after="160"/>
      </w:pPr>
      <w:r>
        <w:t>Diagnosed shortcomings in existing acquisition KPIs and designed a new customer acquisition measurement framework — foundational segmentation and metric-design work directly analogous to retention/guardrail metric design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Deployed Allstate's most sophisticated real-time bidding ML solution to date — first to leverage customer lifetime value directly within the live media platform — optimizing $20K/day in media spend</w:t>
      </w:r>
    </w:p>
    <w:p>
      <w:pPr>
        <w:pStyle w:val="ListBullet"/>
      </w:pPr>
      <w:r>
        <w:t>Led in-housing of Marketing Mix Modeling using a Bayesian (PyMC) approach, saving ~$300K annually in vendor cost while assessing cross-channel performance for a $1B+ annual budget</w:t>
      </w:r>
    </w:p>
    <w:p>
      <w:pPr>
        <w:pStyle w:val="ListBullet"/>
      </w:pPr>
      <w:r>
        <w:t>Engineered Allstate's offline Multi-Touch Attribution system across search and click-to-call channels</w:t>
      </w:r>
    </w:p>
    <w:p>
      <w:pPr>
        <w:pStyle w:val="ListBullet"/>
      </w:pPr>
      <w:r>
        <w:t>Applied uplift and causal inference methods (PyLift, CausalML, CausalImpact) to isolate true campaign impact from correlation</w:t>
      </w:r>
    </w:p>
    <w:p>
      <w:pPr>
        <w:pStyle w:val="ListBullet"/>
        <w:spacing w:after="160"/>
      </w:pPr>
      <w:r>
        <w:t>Built Tableau dashboards used regularly by 100+ stakeholders; managed and developed 5 direct reports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