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ResumeName"/>
      </w:pPr>
      <w:r>
        <w:t>Shelby Temple</w:t>
      </w:r>
    </w:p>
    <w:p>
      <w:pPr>
        <w:pStyle w:val="ResumeContact"/>
      </w:pPr>
      <w:r>
        <w:t>shelbydeantemple@gmail.com | (847) 942-4375 | Lake in the Hills, Illinois</w:t>
      </w:r>
    </w:p>
    <w:p>
      <w:pPr>
        <w:pStyle w:val="ResumeSection"/>
        <w:pBdr>
          <w:bottom w:val="single" w:sz="6" w:space="2" w:color="1F2A44"/>
        </w:pBdr>
      </w:pPr>
      <w:r>
        <w:t>Summary</w:t>
      </w:r>
    </w:p>
    <w:p>
      <w:r>
        <w:t>Measurement science and experimentation leader with 12 years building and scaling causal inference, marketing measurement, and AI evaluation capabilities for Fortune 100 organizations with $1B+ annual budgets, including 3+ years inside a regulated pharmaceutical environment (AbbVie). Proven track record standing up evidence functions from scratch: has personally built and owned the "what counts as proof" standard for marketing mix modeling, multi-touch attribution, and ML-driven decisioning portfolios, then translated rigorous statistical results into narratives that changed budget and strategy decisions for SVP- and executive-level stakeholders. Skilled at systems-level portfolio thinking, prioritizing what to prove next, defending experiment designs, and holding the line when a result doesn't clear the bar. 6+ years leading and coaching cross-functional data science teams, including onshore/offshore vendor management of 12+ contractors.</w:t>
      </w:r>
    </w:p>
    <w:p>
      <w:pPr>
        <w:pStyle w:val="ResumeSection"/>
        <w:pBdr>
          <w:bottom w:val="single" w:sz="6" w:space="2" w:color="1F2A44"/>
        </w:pBdr>
      </w:pPr>
      <w:r>
        <w:t>Education</w:t>
      </w:r>
    </w:p>
    <w:p>
      <w:pPr>
        <w:tabs>
          <w:tab w:pos="10080" w:val="right"/>
        </w:tabs>
        <w:spacing w:after="20"/>
      </w:pPr>
      <w:r>
        <w:rPr>
          <w:b/>
        </w:rPr>
        <w:t>University of Wisconsin Oshkosh | Oshkosh, Wisconsin</w:t>
      </w:r>
      <w:r>
        <w:rPr>
          <w:color w:val="444444"/>
        </w:rPr>
        <w:tab/>
        <w:t>Spring 2020</w:t>
      </w:r>
    </w:p>
    <w:p>
      <w:pPr>
        <w:spacing w:after="120"/>
      </w:pPr>
      <w:r>
        <w:t>Master of Science in Data Science</w:t>
      </w:r>
    </w:p>
    <w:p>
      <w:pPr>
        <w:tabs>
          <w:tab w:pos="10080" w:val="right"/>
        </w:tabs>
        <w:spacing w:after="20"/>
      </w:pPr>
      <w:r>
        <w:rPr>
          <w:b/>
        </w:rPr>
        <w:t>Illinois State University | Normal-Bloomington, Illinois</w:t>
      </w:r>
      <w:r>
        <w:rPr>
          <w:color w:val="444444"/>
        </w:rPr>
        <w:tab/>
        <w:t>Winter 2012</w:t>
      </w:r>
    </w:p>
    <w:p>
      <w:pPr>
        <w:spacing w:after="120"/>
      </w:pPr>
      <w:r>
        <w:t>Bachelor of Science, Mathematics and Economics (double major)</w:t>
      </w:r>
    </w:p>
    <w:p>
      <w:pPr>
        <w:pStyle w:val="ResumeSection"/>
        <w:pBdr>
          <w:bottom w:val="single" w:sz="6" w:space="2" w:color="1F2A44"/>
        </w:pBdr>
      </w:pPr>
      <w:r>
        <w:t>Experience</w:t>
      </w:r>
    </w:p>
    <w:p>
      <w:pPr>
        <w:tabs>
          <w:tab w:pos="10080" w:val="right"/>
        </w:tabs>
        <w:spacing w:after="20"/>
      </w:pPr>
      <w:r>
        <w:rPr>
          <w:b/>
        </w:rPr>
        <w:t>AbbVie | Mettawa, Illinois</w:t>
      </w:r>
      <w:r>
        <w:rPr>
          <w:color w:val="444444"/>
        </w:rPr>
        <w:tab/>
        <w:t>Jan 2023 – Current</w:t>
      </w:r>
    </w:p>
    <w:p>
      <w:pPr>
        <w:pStyle w:val="ResumeEntryTitle"/>
      </w:pPr>
      <w:r>
        <w:t>Associate Director | Advanced Analytics and Innovation</w:t>
      </w:r>
    </w:p>
    <w:p>
      <w:pPr>
        <w:pStyle w:val="ListBullet"/>
      </w:pPr>
      <w:r>
        <w:t>Solution owner of AbbVie's Marketing Mix Modeling (MMM) program, the primary evidence base used to optimize $1B+ in annual, multi-channel, multi-brand marketing spend; program runs on 20+ data pipelines and 20 Bayesian regression models</w:t>
      </w:r>
    </w:p>
    <w:p>
      <w:pPr>
        <w:pStyle w:val="ListBullet"/>
      </w:pPr>
      <w:r>
        <w:t>Led in-housing of AbbVie's MMM capability from an external vendor, building the evidence/measurement function from scratch, projected to save AbbVie $2M annually while giving the business direct ownership of proof standards</w:t>
      </w:r>
    </w:p>
    <w:p>
      <w:pPr>
        <w:pStyle w:val="ListBullet"/>
      </w:pPr>
      <w:r>
        <w:t>Principal architect of AbbVie's first model-derived, GBM-based multi-touch attribution (MTA) solution, established a new class of evidence for the organization</w:t>
      </w:r>
    </w:p>
    <w:p>
      <w:pPr>
        <w:pStyle w:val="ListBullet"/>
      </w:pPr>
      <w:r>
        <w:t>Designed and led implementation of a time-series anomaly detection system that flags when a measurement result may be an artifact rather than a real signal, saving 600+ hours/year and protecting the integrity of downstream readouts</w:t>
      </w:r>
    </w:p>
    <w:p>
      <w:pPr>
        <w:pStyle w:val="ListBullet"/>
      </w:pPr>
      <w:r>
        <w:t>Led design of a custom interactive decision-tree web application adopted by 50+ business analysts, standardizing how the portfolio investigates "what does the evidence mean", saving 200+ hours/year and surfacing insights analysts previously missed</w:t>
      </w:r>
    </w:p>
    <w:p>
      <w:pPr>
        <w:pStyle w:val="ListBullet"/>
      </w:pPr>
      <w:r>
        <w:t>Leads 3 direct reports and manages a vendor team of 12+ onshore/offshore contractors contributing to the measurement portfolio</w:t>
      </w:r>
    </w:p>
    <w:p>
      <w:pPr>
        <w:pStyle w:val="ListBullet"/>
      </w:pPr>
      <w:r>
        <w:t>Runs 3 concurrent cross-functional mentorships overseeing career development plans for aspiring data scientists</w:t>
      </w:r>
    </w:p>
    <w:p>
      <w:pPr>
        <w:pStyle w:val="ListBullet"/>
        <w:spacing w:after="160"/>
      </w:pPr>
      <w:r>
        <w:t>Recipient of AbbVie's Data Scientist of the Year award (2025)</w:t>
      </w:r>
    </w:p>
    <w:p>
      <w:pPr>
        <w:tabs>
          <w:tab w:pos="10080" w:val="right"/>
        </w:tabs>
        <w:spacing w:after="20"/>
      </w:pPr>
      <w:r>
        <w:rPr>
          <w:b/>
        </w:rPr>
        <w:t>Salesforce | Remote, Illinois</w:t>
      </w:r>
      <w:r>
        <w:rPr>
          <w:color w:val="444444"/>
        </w:rPr>
        <w:tab/>
        <w:t>Dec 2021 – Jan 2023</w:t>
      </w:r>
    </w:p>
    <w:p>
      <w:pPr>
        <w:pStyle w:val="ResumeEntryTitle"/>
      </w:pPr>
      <w:r>
        <w:t>Lead Data Scientist | Marketing Analytics and Data Science</w:t>
      </w:r>
    </w:p>
    <w:p>
      <w:pPr>
        <w:pStyle w:val="ListBullet"/>
      </w:pPr>
      <w:r>
        <w:t>Principal developer of a new B2B multi-touch attribution (MTA) measurement solution built from scratch, became the standard used to optimize the entire marketing and sales budget, impacting millions of dollars in annual spend</w:t>
      </w:r>
    </w:p>
    <w:p>
      <w:pPr>
        <w:pStyle w:val="ListBullet"/>
      </w:pPr>
      <w:r>
        <w:t>Owned the end-to-end evidence lifecycle: roadmap, data engineering, modeling, and executive storytelling, regularly presented findings and recommendations directly to SVPs</w:t>
      </w:r>
    </w:p>
    <w:p>
      <w:pPr>
        <w:pStyle w:val="ListBullet"/>
      </w:pPr>
      <w:r>
        <w:t>Used BigQuery, Snowflake SQL, and Python for rigorous data modeling; built Tableau evidence dashboards for stakeholder readouts</w:t>
      </w:r>
    </w:p>
    <w:p>
      <w:pPr>
        <w:pStyle w:val="ListBullet"/>
        <w:spacing w:after="160"/>
      </w:pPr>
      <w:r>
        <w:t>Led 3 direct reports and 3 contractor resources contributing to the measurement build-out</w:t>
      </w:r>
    </w:p>
    <w:p>
      <w:pPr>
        <w:tabs>
          <w:tab w:pos="10080" w:val="right"/>
        </w:tabs>
        <w:spacing w:after="20"/>
      </w:pPr>
      <w:r>
        <w:rPr>
          <w:b/>
        </w:rPr>
        <w:t>Argo Group | Remote, Illinois</w:t>
      </w:r>
      <w:r>
        <w:rPr>
          <w:color w:val="444444"/>
        </w:rPr>
        <w:tab/>
        <w:t>Jun 2021 – Dec 2021</w:t>
      </w:r>
    </w:p>
    <w:p>
      <w:pPr>
        <w:pStyle w:val="ResumeEntryTitle"/>
      </w:pPr>
      <w:r>
        <w:t>Senior Data Scientist | Customer Acquisition &amp; Product Strategy</w:t>
      </w:r>
    </w:p>
    <w:p>
      <w:pPr>
        <w:pStyle w:val="ListBullet"/>
      </w:pPr>
      <w:r>
        <w:t>Identified that Argo's existing customer-acquisition KPIs were measurement-invalid ("unideal") and established a new, more credible approach, demonstrating the independence to say a metric doesn't clear the bar and make it stick</w:t>
      </w:r>
    </w:p>
    <w:p>
      <w:pPr>
        <w:pStyle w:val="ListBullet"/>
        <w:spacing w:after="160"/>
      </w:pPr>
      <w:r>
        <w:t>Built a machine learning model to rank prospect conversion probability, replacing a first-in/first-out underwriting process with an evidence-driven prioritization, resulted in ~$670K in incremental annual written premium</w:t>
      </w:r>
    </w:p>
    <w:p>
      <w:pPr>
        <w:tabs>
          <w:tab w:pos="10080" w:val="right"/>
        </w:tabs>
        <w:spacing w:after="20"/>
      </w:pPr>
      <w:r>
        <w:rPr>
          <w:b/>
        </w:rPr>
        <w:t>Allstate Insurance Company | Northbrook, Illinois</w:t>
      </w:r>
      <w:r>
        <w:rPr>
          <w:color w:val="444444"/>
        </w:rPr>
        <w:tab/>
        <w:t>Feb 2016 – Jun 2021</w:t>
      </w:r>
    </w:p>
    <w:p>
      <w:pPr>
        <w:pStyle w:val="ResumeEntryTitle"/>
      </w:pPr>
      <w:r>
        <w:t>Lead Data Scientist | Marketing Analytics and Data Science</w:t>
      </w:r>
    </w:p>
    <w:p>
      <w:pPr>
        <w:pStyle w:val="ListBullet"/>
      </w:pPr>
      <w:r>
        <w:t>Led the effort to in-house Marketing Mix Modeling using a Bayesian (PyMC) approach, eliminating dependency on an external vendor and saving ~$800K annually; insights used to assess cross-channel performance across a $1B+ annual budget</w:t>
      </w:r>
    </w:p>
    <w:p>
      <w:pPr>
        <w:pStyle w:val="ListBullet"/>
      </w:pPr>
      <w:r>
        <w:t>Deployed Allstate's most sophisticated real-time bidding ML solution to date, first to incorporate lifetime customer value directly into a live campaign, optimizing $20K/day in spend</w:t>
      </w:r>
    </w:p>
    <w:p>
      <w:pPr>
        <w:pStyle w:val="ListBullet"/>
      </w:pPr>
      <w:r>
        <w:t>Delivered advanced causal and uplift modeling projects (PyLift, CausalML, CausalImpact) to isolate true incremental impact from correlation</w:t>
      </w:r>
    </w:p>
    <w:p>
      <w:pPr>
        <w:pStyle w:val="ListBullet"/>
      </w:pPr>
      <w:r>
        <w:t>Engineered Allstate's offline multi-touch attribution system for search and click-to-call channels</w:t>
      </w:r>
    </w:p>
    <w:p>
      <w:pPr>
        <w:pStyle w:val="ListBullet"/>
      </w:pPr>
      <w:r>
        <w:t>Built Tableau evidence dashboards used by 100+ stakeholders on a recurring cadence</w:t>
      </w:r>
    </w:p>
    <w:p>
      <w:pPr>
        <w:pStyle w:val="ListBullet"/>
        <w:spacing w:after="160"/>
      </w:pPr>
      <w:r>
        <w:t>Managed and coached 5 direct reports across Python, SQL, and Tableau development and performance</w:t>
      </w:r>
    </w:p>
    <w:p>
      <w:pPr>
        <w:pStyle w:val="ResumeSection"/>
        <w:pBdr>
          <w:bottom w:val="single" w:sz="6" w:space="2" w:color="1F2A44"/>
        </w:pBdr>
      </w:pPr>
      <w:r>
        <w:t>Skills</w:t>
      </w:r>
    </w:p>
    <w:p>
      <w:r>
        <w:t>A/B testing, Adobe Analytics, anomaly detection, Bayesian regression, BigQuery, Causal Inference, causal rigor, Claude Code / AI-assisted coding, Dataiku, GBM, GBM-based measurement, GitHub, Google Ads, matched controls, Neo4j, PCA, pre-registered proof standards, propensity/classification models, Python, quasi-experimental design, R, SageMaker, Snowflake, Solution-owner of a $1B+ multi-brand, SQL, Tableau, time-series, uplift/causal modeling</w:t>
      </w:r>
    </w:p>
    <w:sectPr w:rsidR="00FC693F" w:rsidRPr="0006063C" w:rsidSect="00034616">
      <w:pgSz w:w="12240" w:h="15840"/>
      <w:pgMar w:top="792" w:right="1080" w:bottom="792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80" w:line="240" w:lineRule="auto"/>
    </w:pPr>
    <w:rPr>
      <w:rFonts w:ascii="Calibri" w:hAnsi="Calibr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40" w:lineRule="auto"/>
      <w:ind w:left="288"/>
      <w:contextualSpacing/>
    </w:pPr>
    <w:rPr>
      <w:rFonts w:ascii="Calibri" w:hAnsi="Calibri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Name">
    <w:name w:val="ResumeName"/>
    <w:basedOn w:val="Normal"/>
    <w:pPr>
      <w:spacing w:after="40"/>
      <w:jc w:val="center"/>
    </w:pPr>
    <w:rPr>
      <w:b/>
      <w:color w:val="1F2A44"/>
      <w:sz w:val="44"/>
    </w:rPr>
  </w:style>
  <w:style w:type="paragraph" w:customStyle="1" w:styleId="ResumeContact">
    <w:name w:val="ResumeContact"/>
    <w:basedOn w:val="Normal"/>
    <w:pPr>
      <w:spacing w:after="200"/>
      <w:jc w:val="center"/>
    </w:pPr>
    <w:rPr>
      <w:color w:val="444444"/>
      <w:sz w:val="19"/>
    </w:rPr>
  </w:style>
  <w:style w:type="paragraph" w:customStyle="1" w:styleId="ResumeSection">
    <w:name w:val="ResumeSection"/>
    <w:basedOn w:val="Normal"/>
    <w:pPr>
      <w:spacing w:before="240" w:after="80"/>
    </w:pPr>
    <w:rPr>
      <w:b/>
      <w:caps/>
      <w:color w:val="1F2A44"/>
      <w:sz w:val="23"/>
    </w:rPr>
  </w:style>
  <w:style w:type="paragraph" w:customStyle="1" w:styleId="ResumeEntryTitle">
    <w:name w:val="ResumeEntryTitle"/>
    <w:basedOn w:val="Normal"/>
    <w:pPr>
      <w:spacing w:after="60"/>
    </w:pPr>
    <w:rPr>
      <w:i/>
      <w:color w:val="444444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