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301B6" w14:textId="77777777" w:rsidR="004E1930" w:rsidRPr="004E1930" w:rsidRDefault="004E1930" w:rsidP="004E1930">
      <w:r w:rsidRPr="004E1930">
        <w:rPr>
          <w:b/>
          <w:bCs/>
        </w:rPr>
        <w:t>Director, AI Experimentation &amp; Measurement</w:t>
      </w:r>
    </w:p>
    <w:p w14:paraId="4AD55FA9" w14:textId="77777777" w:rsidR="004E1930" w:rsidRPr="004E1930" w:rsidRDefault="004E1930" w:rsidP="004E1930">
      <w:r w:rsidRPr="004E1930">
        <w:t>Pfizer US Commercial is scaling a portfolio of AI initiatives, each launched as an experiment measured against a real-world baseline. The value of that portfolio depends on one thing: a shared, credible definition of what good looks like plus the evidence to prove we are reaching it.</w:t>
      </w:r>
    </w:p>
    <w:p w14:paraId="76C3A73D" w14:textId="77777777" w:rsidR="004E1930" w:rsidRPr="004E1930" w:rsidRDefault="004E1930" w:rsidP="004E1930">
      <w:r w:rsidRPr="004E1930">
        <w:t>We are hiring a Director of Experimentation &amp; Measurement to own that definition end to end. This is not a scorekeeping role. You will decide what is worth proving next, design the experiment that proves it, set the bar for success before the work begins, and tell the story of what the evidence means to the people making the biggest decisions. You are equal parts systems thinker, experiment designer, and storyteller, with the rigor to make sure the story is true.</w:t>
      </w:r>
    </w:p>
    <w:p w14:paraId="4AF3CEFD" w14:textId="77777777" w:rsidR="004E1930" w:rsidRPr="004E1930" w:rsidRDefault="004E1930" w:rsidP="004E1930">
      <w:r w:rsidRPr="004E1930">
        <w:t>This is a build-from-scratch role for someone who can see across a whole portfolio, frame the questions that matter most, and hold the independence to say when a result does not clear the bar.</w:t>
      </w:r>
    </w:p>
    <w:p w14:paraId="06589542" w14:textId="77777777" w:rsidR="004E1930" w:rsidRPr="004E1930" w:rsidRDefault="004E1930" w:rsidP="004E1930">
      <w:r w:rsidRPr="004E1930">
        <w:br/>
      </w:r>
      <w:r w:rsidRPr="004E1930">
        <w:rPr>
          <w:b/>
          <w:bCs/>
        </w:rPr>
        <w:t>What you will own</w:t>
      </w:r>
    </w:p>
    <w:p w14:paraId="0F62B42F" w14:textId="77777777" w:rsidR="004E1930" w:rsidRPr="004E1930" w:rsidRDefault="004E1930" w:rsidP="004E1930">
      <w:r w:rsidRPr="004E1930">
        <w:t>1. Success criteria &amp; proof standards. Own the portfolio-wide standard for what counts as proof—defined before work begins, not after results land. Draft and socialize pre-registered success criteria for each initiative (primary KPIs, guardrails, minimum detectable effect, read windows). Maintain a shared measurement playbook (matched controls, power calculations, blinded review, backtesting where appropriate). </w:t>
      </w:r>
      <w:r w:rsidRPr="004E1930">
        <w:br/>
        <w:t> </w:t>
      </w:r>
      <w:r w:rsidRPr="004E1930">
        <w:br/>
        <w:t>2. Portfolio learning agenda. Prioritize what the portfolio must prove next—and in what sequence evidence compounds. Maintain a ranked learning agenda across initiatives and recommend the next proof point per initiative. </w:t>
      </w:r>
      <w:r w:rsidRPr="004E1930">
        <w:br/>
        <w:t> </w:t>
      </w:r>
      <w:r w:rsidRPr="004E1930">
        <w:br/>
        <w:t>3. Experiment design &amp; statistical rigor. Review experiment designs: control arms, audience matching, read windows, confounders, data leakage risks. Run power analysis and flag underpowered or ungradeable designs before launch. </w:t>
      </w:r>
      <w:r w:rsidRPr="004E1930">
        <w:br/>
        <w:t> </w:t>
      </w:r>
      <w:r w:rsidRPr="004E1930">
        <w:br/>
        <w:t>4. Evidence narrative for senior leaders. Produce evidence read memos on a fixed cadence: what was tested, what was observed, what it means, what is recommended. Synthesize across initiatives into one portfolio story—not a patchwork of disconnected scorecards. </w:t>
      </w:r>
      <w:r w:rsidRPr="004E1930">
        <w:br/>
        <w:t> </w:t>
      </w:r>
      <w:r w:rsidRPr="004E1930">
        <w:br/>
        <w:t xml:space="preserve">5. Measurement integrity &amp; bias controls. Guard against failure modes that quietly </w:t>
      </w:r>
      <w:r w:rsidRPr="004E1930">
        <w:lastRenderedPageBreak/>
        <w:t>invalidate results: moving goalposts; letting the people a system is meant to outperform grade it; acting before pre-registered proof exists. Escalate when a read is not gradeable. </w:t>
      </w:r>
      <w:r w:rsidRPr="004E1930">
        <w:br/>
        <w:t> </w:t>
      </w:r>
      <w:r w:rsidRPr="004E1930">
        <w:br/>
        <w:t>6. Evidence governance &amp; readout cadence. Run evidence read sessions at pre-registered dates; own continue / adjust / stop recommendations with rationale; track whether recommendations are acted on.</w:t>
      </w:r>
    </w:p>
    <w:p w14:paraId="58A7332F" w14:textId="77777777" w:rsidR="004E1930" w:rsidRPr="004E1930" w:rsidRDefault="004E1930" w:rsidP="004E1930">
      <w:r w:rsidRPr="004E1930">
        <w:t>Key stakeholders &amp; accountability </w:t>
      </w:r>
      <w:r w:rsidRPr="004E1930">
        <w:br/>
        <w:t> </w:t>
      </w:r>
      <w:r w:rsidRPr="004E1930">
        <w:br/>
        <w:t>Partners with initiative facilitators on criteria, design, and readouts. Influences BU Presidents and proxies by helping define their success criteria and reporting back whether evidence meets the bar. Reports results and implications to USLT and Chief Commercial Office as portfolio executive sponsors. </w:t>
      </w:r>
      <w:r w:rsidRPr="004E1930">
        <w:br/>
      </w:r>
      <w:r w:rsidRPr="004E1930">
        <w:br/>
        <w:t>What we require </w:t>
      </w:r>
    </w:p>
    <w:p w14:paraId="21637030" w14:textId="77777777" w:rsidR="004E1930" w:rsidRPr="004E1930" w:rsidRDefault="004E1930" w:rsidP="004E1930">
      <w:r w:rsidRPr="004E1930">
        <w:t>Experience: 8+ yrs (Bachelor's) · 7+ yrs (Master's) · 5+ yrs (PhD), spanning experimentation, measurement science, causal inference, or a quantitatively rigorous discipline — paired with strategy or product-facing work.</w:t>
      </w:r>
    </w:p>
    <w:p w14:paraId="7ED39A4E" w14:textId="77777777" w:rsidR="004E1930" w:rsidRPr="004E1930" w:rsidRDefault="004E1930" w:rsidP="004E1930">
      <w:r w:rsidRPr="004E1930">
        <w:rPr>
          <w:b/>
          <w:bCs/>
        </w:rPr>
        <w:t>Required Qualifications:</w:t>
      </w:r>
      <w:r w:rsidRPr="004E1930">
        <w:t> </w:t>
      </w:r>
    </w:p>
    <w:p w14:paraId="16D39D5F" w14:textId="77777777" w:rsidR="004E1930" w:rsidRPr="004E1930" w:rsidRDefault="004E1930" w:rsidP="004E1930">
      <w:r w:rsidRPr="004E1930">
        <w:t>-Bachelor's degree required with 8+ years of relevant experience spanning experimentation, measurement science, causal inference, or a quantitatively rigorous discipline — paired with strategy or product-facing work.</w:t>
      </w:r>
      <w:r w:rsidRPr="004E1930">
        <w:br/>
        <w:t>- Systems thinking: sees across an entire portfolio, frames the questions that matter most, and designs how proof compounds over time rather than optimizing one test at a time. </w:t>
      </w:r>
      <w:r w:rsidRPr="004E1930">
        <w:br/>
        <w:t>- Storytelling and executive presence: turns a rigorous, technical result into a clear, persuasive narrative that shapes senior decisions. </w:t>
      </w:r>
      <w:r w:rsidRPr="004E1930">
        <w:br/>
        <w:t>- Experiment design and causal credibility: has designed and defended controlled experiments at enterprise scale: power analysis, matched controls, quasi-experimental methods, pre-registration. </w:t>
      </w:r>
      <w:r w:rsidRPr="004E1930">
        <w:br/>
        <w:t>- Independence and spine: able to tell a senior stakeholder that a result does not clear the bar, and make it stick. </w:t>
      </w:r>
      <w:r w:rsidRPr="004E1930">
        <w:br/>
        <w:t>- AI fluency: evaluates AI/ML and generative systems credibly: what a real performance signal looks like versus a plausible artifact.</w:t>
      </w:r>
    </w:p>
    <w:p w14:paraId="4F4902E1" w14:textId="77777777" w:rsidR="004E1930" w:rsidRPr="004E1930" w:rsidRDefault="004E1930" w:rsidP="004E1930">
      <w:r w:rsidRPr="004E1930">
        <w:rPr>
          <w:b/>
          <w:bCs/>
        </w:rPr>
        <w:t>Preferred Qualifications:</w:t>
      </w:r>
      <w:r w:rsidRPr="004E1930">
        <w:t> </w:t>
      </w:r>
    </w:p>
    <w:p w14:paraId="3F004283" w14:textId="77777777" w:rsidR="004E1930" w:rsidRPr="004E1930" w:rsidRDefault="004E1930" w:rsidP="004E1930">
      <w:r w:rsidRPr="004E1930">
        <w:br/>
        <w:t>- Regulated-industry measurement experience. </w:t>
      </w:r>
      <w:r w:rsidRPr="004E1930">
        <w:br/>
      </w:r>
      <w:r w:rsidRPr="004E1930">
        <w:lastRenderedPageBreak/>
        <w:t>- Provenance, auditability, and responsible-AI evaluation frameworks. </w:t>
      </w:r>
      <w:r w:rsidRPr="004E1930">
        <w:br/>
        <w:t>- Experience standing up an experimentation or evidence function from scratch. </w:t>
      </w:r>
    </w:p>
    <w:p w14:paraId="08046E17" w14:textId="77777777" w:rsidR="004E1930" w:rsidRPr="004E1930" w:rsidRDefault="004E1930" w:rsidP="004E1930">
      <w:r w:rsidRPr="004E1930">
        <w:t>  </w:t>
      </w:r>
      <w:r w:rsidRPr="004E1930">
        <w:br/>
        <w:t>Candidate demonstrates a breadth of diverse leadership experiences and capabilities including: the ability to influence and collaborate with peers, develop and coach others, oversee and guide the work of other colleagues to achieve meaningful outcomes and create business impact.</w:t>
      </w:r>
    </w:p>
    <w:p w14:paraId="2D001B4F" w14:textId="77777777" w:rsidR="004E1930" w:rsidRPr="004E1930" w:rsidRDefault="004E1930" w:rsidP="004E1930">
      <w:r w:rsidRPr="004E1930">
        <w:rPr>
          <w:b/>
          <w:bCs/>
        </w:rPr>
        <w:t>Other Job Details:</w:t>
      </w:r>
    </w:p>
    <w:p w14:paraId="78246CF4" w14:textId="77777777" w:rsidR="004E1930" w:rsidRPr="004E1930" w:rsidRDefault="004E1930" w:rsidP="004E1930">
      <w:pPr>
        <w:numPr>
          <w:ilvl w:val="0"/>
          <w:numId w:val="8"/>
        </w:numPr>
      </w:pPr>
      <w:r w:rsidRPr="004E1930">
        <w:t>Last Date to Apply for Job: </w:t>
      </w:r>
      <w:r w:rsidRPr="004E1930">
        <w:rPr>
          <w:b/>
          <w:bCs/>
        </w:rPr>
        <w:t>July 26, 2026.</w:t>
      </w:r>
    </w:p>
    <w:p w14:paraId="2874C2E1" w14:textId="77777777" w:rsidR="004E1930" w:rsidRPr="004E1930" w:rsidRDefault="004E1930" w:rsidP="004E1930">
      <w:pPr>
        <w:numPr>
          <w:ilvl w:val="0"/>
          <w:numId w:val="8"/>
        </w:numPr>
      </w:pPr>
      <w:r w:rsidRPr="004E1930">
        <w:t>Ability to travel based on business needs</w:t>
      </w:r>
    </w:p>
    <w:p w14:paraId="2264FD7E" w14:textId="77777777" w:rsidR="004E1930" w:rsidRPr="004E1930" w:rsidRDefault="004E1930" w:rsidP="004E1930">
      <w:pPr>
        <w:numPr>
          <w:ilvl w:val="0"/>
          <w:numId w:val="8"/>
        </w:numPr>
      </w:pPr>
      <w:r w:rsidRPr="004E1930">
        <w:t>This position is hybrid and requires working onsite 2 to 3 days per week</w:t>
      </w:r>
    </w:p>
    <w:p w14:paraId="175D96C1" w14:textId="77777777" w:rsidR="004E1930" w:rsidRPr="004E1930" w:rsidRDefault="004E1930" w:rsidP="004E1930">
      <w:r w:rsidRPr="004E1930">
        <w:t>&amp;#xa;The annual base salary for this position ranges from $162,900.00 to $271,500.00. In addition, this position is eligible for participation in Pfizer’s Global Performance Plan with a bonus target of 20.0% of the base salary and eligibility to participate in our share based long term incentive program. We offer comprehensive and generous benefits and programs to help our colleagues lead healthy lives and to support each of life’s moments. Benefits offered include a 401(k) plan with Pfizer Matching Contributions and an additional Pfizer Retirement Savings Contribution, paid vacation, holiday and personal days, paid caregiver/parental and medical leave, and health benefits to include medical, prescription drug, dental and vision coverage. Learn more at Pfizer Candidate Site – U.S. Benefits | (uscandidates.mypfizerbenefits.com). Pfizer compensation structures and benefit packages are aligned based on the location of hire. The United States salary range provided does not apply to Tampa, FL or any location outside of the United States.&amp;#xa;&amp;#xa;&amp;#xa;&amp;#xa;This role is posted in multiple locations. If you are applying for the role in an secondary job posting location where pay transparency regulations apply, your Talent Advisor will share the local pay information with you during the first interview.&amp;#xa;&amp;#xa;&amp;#xa;</w:t>
      </w:r>
    </w:p>
    <w:p w14:paraId="7C6D24A1" w14:textId="77777777" w:rsidR="004E1930" w:rsidRPr="004E1930" w:rsidRDefault="004E1930" w:rsidP="004E1930">
      <w:r w:rsidRPr="004E1930">
        <w:t>Relocation assistance may be available based on business needs and/or eligibility.</w:t>
      </w:r>
    </w:p>
    <w:p w14:paraId="02232F60" w14:textId="77777777" w:rsidR="004E1930" w:rsidRPr="004E1930" w:rsidRDefault="004E1930" w:rsidP="004E1930">
      <w:r w:rsidRPr="004E1930">
        <w:t>&amp;#xa;</w:t>
      </w:r>
    </w:p>
    <w:p w14:paraId="1ADD2528" w14:textId="77777777" w:rsidR="004E1930" w:rsidRPr="004E1930" w:rsidRDefault="004E1930" w:rsidP="004E1930">
      <w:r w:rsidRPr="004E1930">
        <w:t>Candidates must be authorized to be employed in the U.S. by any employer.</w:t>
      </w:r>
    </w:p>
    <w:p w14:paraId="30E73A9D" w14:textId="77777777" w:rsidR="004E1930" w:rsidRPr="004E1930" w:rsidRDefault="004E1930" w:rsidP="004E1930">
      <w:r w:rsidRPr="004E1930">
        <w:t>U.S. work visa sponsorship (such as TN, O-1, H-1B, etc.) is not available for this role now or in the future.</w:t>
      </w:r>
    </w:p>
    <w:p w14:paraId="31C063AA" w14:textId="77777777" w:rsidR="004E1930" w:rsidRPr="004E1930" w:rsidRDefault="004E1930" w:rsidP="004E1930">
      <w:r w:rsidRPr="004E1930">
        <w:t>&amp;#xa;</w:t>
      </w:r>
    </w:p>
    <w:p w14:paraId="3CBC474D" w14:textId="77777777" w:rsidR="004E1930" w:rsidRPr="004E1930" w:rsidRDefault="004E1930" w:rsidP="004E1930">
      <w:r w:rsidRPr="004E1930">
        <w:rPr>
          <w:b/>
          <w:bCs/>
        </w:rPr>
        <w:lastRenderedPageBreak/>
        <w:t>Sunshine Act</w:t>
      </w:r>
    </w:p>
    <w:p w14:paraId="1E0826F2" w14:textId="77777777" w:rsidR="004E1930" w:rsidRPr="004E1930" w:rsidRDefault="004E1930" w:rsidP="004E1930">
      <w:r w:rsidRPr="004E1930">
        <w:t>Pfizer reports payments and other transfers of value to health care providers as required by federal and state transparency laws and implementing regulations.  These laws and regulations require Pfizer to provide government agencies with information such as a health care provider’s name, address and the type of payments or other value received, generally for public disclosure.  Subject to further legal review and statutory or regulatory clarification, which Pfizer intends to pursue, reimbursement of recruiting expenses for licensed physicians may constitute a reportable transfer of value under the federal transparency law commonly known as the Sunshine Act.  Therefore, if you are a licensed physician who incurs recruiting expenses as a result of interviewing with Pfizer that we pay or reimburse, your name, address and the amount of payments made currently will be reported to the government.  If you have questions regarding this matter, please do not hesitate to contact your Talent Acquisition representative.</w:t>
      </w:r>
    </w:p>
    <w:p w14:paraId="39CAE0D0" w14:textId="77777777" w:rsidR="004E1930" w:rsidRPr="004E1930" w:rsidRDefault="004E1930" w:rsidP="004E1930">
      <w:r w:rsidRPr="004E1930">
        <w:t>&amp;#xa;</w:t>
      </w:r>
    </w:p>
    <w:p w14:paraId="371F6FAB" w14:textId="77777777" w:rsidR="004E1930" w:rsidRPr="004E1930" w:rsidRDefault="004E1930" w:rsidP="004E1930">
      <w:r w:rsidRPr="004E1930">
        <w:rPr>
          <w:b/>
          <w:bCs/>
        </w:rPr>
        <w:t>EEO &amp; Employment Eligibility</w:t>
      </w:r>
    </w:p>
    <w:p w14:paraId="4C0BC05F" w14:textId="77777777" w:rsidR="004E1930" w:rsidRPr="004E1930" w:rsidRDefault="004E1930" w:rsidP="004E1930">
      <w:r w:rsidRPr="004E1930">
        <w:t>Pfizer is committed to equal opportunity in the terms and conditions of employment for all employees and job applicants without regard to race, color, religion, sex, sexual orientation, age, gender identity or gender expression, national origin, disability or veteran status.  Pfizer also complies with all applicable national, state and local laws governing nondiscrimination in employment as well as work authorization and employment eligibility verification requirements of the Immigration and Nationality Act and IRCA.  Pfizer is an E-Verify employer.  This position requires permanent work authorization in the United States.</w:t>
      </w:r>
    </w:p>
    <w:p w14:paraId="79DFE0C3" w14:textId="77777777" w:rsidR="004E1930" w:rsidRPr="004E1930" w:rsidRDefault="004E1930" w:rsidP="004E1930">
      <w:r w:rsidRPr="004E1930">
        <w:t>Pfizer endeavors to make </w:t>
      </w:r>
      <w:hyperlink r:id="rId5" w:tgtFrame="_blank" w:history="1">
        <w:r w:rsidRPr="004E1930">
          <w:rPr>
            <w:rStyle w:val="Hyperlink"/>
          </w:rPr>
          <w:t>www.pfizer.com/careers</w:t>
        </w:r>
      </w:hyperlink>
      <w:r w:rsidRPr="004E1930">
        <w:t> accessible to all users. If you would like to contact us regarding the accessibility of our website or need assistance completing the application process and/or interviewing, please email </w:t>
      </w:r>
      <w:hyperlink r:id="rId6" w:tgtFrame="_blank" w:history="1">
        <w:r w:rsidRPr="004E1930">
          <w:rPr>
            <w:rStyle w:val="Hyperlink"/>
          </w:rPr>
          <w:t>disabilityrecruitment@pfizer.com</w:t>
        </w:r>
      </w:hyperlink>
      <w:r w:rsidRPr="004E1930">
        <w:t>. This is to be used solely for accommodation requests with respect to the accessibility of our website, online application process and/or interviewing. Requests for any other reason will not be returned.</w:t>
      </w:r>
    </w:p>
    <w:p w14:paraId="1CBE9A65" w14:textId="77777777" w:rsidR="004E1930" w:rsidRPr="004E1930" w:rsidRDefault="004E1930" w:rsidP="004E1930">
      <w:r w:rsidRPr="004E1930">
        <w:t>&amp;#xa;</w:t>
      </w:r>
    </w:p>
    <w:p w14:paraId="5735CA6A" w14:textId="77777777" w:rsidR="004E1930" w:rsidRPr="004E1930" w:rsidRDefault="004E1930" w:rsidP="004E1930">
      <w:r w:rsidRPr="004E1930">
        <w:t>To learn more about acceptable and prohibited uses of AI during the recruitment process, please review our candidate AI-use guidelines available on </w:t>
      </w:r>
      <w:hyperlink r:id="rId7" w:tgtFrame="_blank" w:history="1">
        <w:r w:rsidRPr="004E1930">
          <w:rPr>
            <w:rStyle w:val="Hyperlink"/>
          </w:rPr>
          <w:t>Pfizer Careers</w:t>
        </w:r>
      </w:hyperlink>
      <w:r w:rsidRPr="004E1930">
        <w:t>.</w:t>
      </w:r>
    </w:p>
    <w:p w14:paraId="45A3276A" w14:textId="77777777" w:rsidR="004E1930" w:rsidRPr="004E1930" w:rsidRDefault="004E1930" w:rsidP="004E1930">
      <w:r w:rsidRPr="004E1930">
        <w:t>&amp;#xa;Information &amp; Business Tech&amp;#xa;</w:t>
      </w:r>
    </w:p>
    <w:p w14:paraId="3CA1FA4D" w14:textId="77777777" w:rsidR="00260876" w:rsidRPr="004E1930" w:rsidRDefault="00260876" w:rsidP="004E1930"/>
    <w:sectPr w:rsidR="00260876" w:rsidRPr="004E1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5173"/>
    <w:multiLevelType w:val="multilevel"/>
    <w:tmpl w:val="CE5E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F7FBB"/>
    <w:multiLevelType w:val="multilevel"/>
    <w:tmpl w:val="FA6A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F5D50"/>
    <w:multiLevelType w:val="multilevel"/>
    <w:tmpl w:val="0A14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82151"/>
    <w:multiLevelType w:val="multilevel"/>
    <w:tmpl w:val="AE2E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74934"/>
    <w:multiLevelType w:val="multilevel"/>
    <w:tmpl w:val="264C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E44C27"/>
    <w:multiLevelType w:val="multilevel"/>
    <w:tmpl w:val="7F3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B4314F"/>
    <w:multiLevelType w:val="multilevel"/>
    <w:tmpl w:val="B014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7A414A"/>
    <w:multiLevelType w:val="multilevel"/>
    <w:tmpl w:val="FB7E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310571">
    <w:abstractNumId w:val="0"/>
  </w:num>
  <w:num w:numId="2" w16cid:durableId="561449500">
    <w:abstractNumId w:val="3"/>
  </w:num>
  <w:num w:numId="3" w16cid:durableId="1686134065">
    <w:abstractNumId w:val="7"/>
  </w:num>
  <w:num w:numId="4" w16cid:durableId="1047072727">
    <w:abstractNumId w:val="6"/>
  </w:num>
  <w:num w:numId="5" w16cid:durableId="2111507587">
    <w:abstractNumId w:val="4"/>
  </w:num>
  <w:num w:numId="6" w16cid:durableId="452790649">
    <w:abstractNumId w:val="2"/>
  </w:num>
  <w:num w:numId="7" w16cid:durableId="1531993597">
    <w:abstractNumId w:val="1"/>
  </w:num>
  <w:num w:numId="8" w16cid:durableId="18340570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876"/>
    <w:rsid w:val="00260876"/>
    <w:rsid w:val="004E1930"/>
    <w:rsid w:val="00792542"/>
    <w:rsid w:val="00C97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F519A"/>
  <w15:chartTrackingRefBased/>
  <w15:docId w15:val="{C9CEDB90-35BB-4E28-9640-182182E4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876"/>
    <w:rPr>
      <w:rFonts w:eastAsiaTheme="majorEastAsia" w:cstheme="majorBidi"/>
      <w:color w:val="272727" w:themeColor="text1" w:themeTint="D8"/>
    </w:rPr>
  </w:style>
  <w:style w:type="paragraph" w:styleId="Title">
    <w:name w:val="Title"/>
    <w:basedOn w:val="Normal"/>
    <w:next w:val="Normal"/>
    <w:link w:val="TitleChar"/>
    <w:uiPriority w:val="10"/>
    <w:qFormat/>
    <w:rsid w:val="00260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876"/>
    <w:pPr>
      <w:spacing w:before="160"/>
      <w:jc w:val="center"/>
    </w:pPr>
    <w:rPr>
      <w:i/>
      <w:iCs/>
      <w:color w:val="404040" w:themeColor="text1" w:themeTint="BF"/>
    </w:rPr>
  </w:style>
  <w:style w:type="character" w:customStyle="1" w:styleId="QuoteChar">
    <w:name w:val="Quote Char"/>
    <w:basedOn w:val="DefaultParagraphFont"/>
    <w:link w:val="Quote"/>
    <w:uiPriority w:val="29"/>
    <w:rsid w:val="00260876"/>
    <w:rPr>
      <w:i/>
      <w:iCs/>
      <w:color w:val="404040" w:themeColor="text1" w:themeTint="BF"/>
    </w:rPr>
  </w:style>
  <w:style w:type="paragraph" w:styleId="ListParagraph">
    <w:name w:val="List Paragraph"/>
    <w:basedOn w:val="Normal"/>
    <w:uiPriority w:val="34"/>
    <w:qFormat/>
    <w:rsid w:val="00260876"/>
    <w:pPr>
      <w:ind w:left="720"/>
      <w:contextualSpacing/>
    </w:pPr>
  </w:style>
  <w:style w:type="character" w:styleId="IntenseEmphasis">
    <w:name w:val="Intense Emphasis"/>
    <w:basedOn w:val="DefaultParagraphFont"/>
    <w:uiPriority w:val="21"/>
    <w:qFormat/>
    <w:rsid w:val="00260876"/>
    <w:rPr>
      <w:i/>
      <w:iCs/>
      <w:color w:val="0F4761" w:themeColor="accent1" w:themeShade="BF"/>
    </w:rPr>
  </w:style>
  <w:style w:type="paragraph" w:styleId="IntenseQuote">
    <w:name w:val="Intense Quote"/>
    <w:basedOn w:val="Normal"/>
    <w:next w:val="Normal"/>
    <w:link w:val="IntenseQuoteChar"/>
    <w:uiPriority w:val="30"/>
    <w:qFormat/>
    <w:rsid w:val="00260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876"/>
    <w:rPr>
      <w:i/>
      <w:iCs/>
      <w:color w:val="0F4761" w:themeColor="accent1" w:themeShade="BF"/>
    </w:rPr>
  </w:style>
  <w:style w:type="character" w:styleId="IntenseReference">
    <w:name w:val="Intense Reference"/>
    <w:basedOn w:val="DefaultParagraphFont"/>
    <w:uiPriority w:val="32"/>
    <w:qFormat/>
    <w:rsid w:val="00260876"/>
    <w:rPr>
      <w:b/>
      <w:bCs/>
      <w:smallCaps/>
      <w:color w:val="0F4761" w:themeColor="accent1" w:themeShade="BF"/>
      <w:spacing w:val="5"/>
    </w:rPr>
  </w:style>
  <w:style w:type="character" w:styleId="Hyperlink">
    <w:name w:val="Hyperlink"/>
    <w:basedOn w:val="DefaultParagraphFont"/>
    <w:uiPriority w:val="99"/>
    <w:unhideWhenUsed/>
    <w:rsid w:val="00260876"/>
    <w:rPr>
      <w:color w:val="467886" w:themeColor="hyperlink"/>
      <w:u w:val="single"/>
    </w:rPr>
  </w:style>
  <w:style w:type="character" w:styleId="UnresolvedMention">
    <w:name w:val="Unresolved Mention"/>
    <w:basedOn w:val="DefaultParagraphFont"/>
    <w:uiPriority w:val="99"/>
    <w:semiHidden/>
    <w:unhideWhenUsed/>
    <w:rsid w:val="00260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fizer.com/about/careers/ai-use-guideli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sabilityrecruitment@pfizer.com" TargetMode="External"/><Relationship Id="rId5" Type="http://schemas.openxmlformats.org/officeDocument/2006/relationships/hyperlink" Target="https://www.pfizer.com/career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1356</Words>
  <Characters>7731</Characters>
  <Application>Microsoft Office Word</Application>
  <DocSecurity>0</DocSecurity>
  <Lines>64</Lines>
  <Paragraphs>18</Paragraphs>
  <ScaleCrop>false</ScaleCrop>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Temple</dc:creator>
  <cp:keywords/>
  <dc:description/>
  <cp:lastModifiedBy>Shelby Temple</cp:lastModifiedBy>
  <cp:revision>2</cp:revision>
  <dcterms:created xsi:type="dcterms:W3CDTF">2026-07-15T02:21:00Z</dcterms:created>
  <dcterms:modified xsi:type="dcterms:W3CDTF">2026-07-22T01:27:00Z</dcterms:modified>
</cp:coreProperties>
</file>