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CC49" w14:textId="5D869878" w:rsidR="00646308" w:rsidRDefault="00646308" w:rsidP="00646308">
      <w:pPr>
        <w:pStyle w:val="Heading2"/>
      </w:pPr>
      <w:r>
        <w:t>Doing Digital Methods</w:t>
      </w:r>
      <w:r w:rsidR="00820C7E">
        <w:t xml:space="preserve"> by Richard Rogers</w:t>
      </w:r>
      <w:r>
        <w:t>.</w:t>
      </w:r>
    </w:p>
    <w:p w14:paraId="0F941681" w14:textId="77777777" w:rsidR="00820C7E" w:rsidRPr="00820C7E" w:rsidRDefault="00820C7E" w:rsidP="00820C7E"/>
    <w:p w14:paraId="025D59F5" w14:textId="3494700F" w:rsidR="00AD15E7" w:rsidRPr="00AD15E7" w:rsidRDefault="00AD15E7">
      <w:r w:rsidRPr="00AD15E7">
        <w:t>I find this paper interesting. Although it shows the clear advantages in being able to use Google Analytics uncover hidden data and linked together networks, it makes one wonder where the line is drawn between legal and illegal activity.</w:t>
      </w:r>
    </w:p>
    <w:p w14:paraId="2940109C" w14:textId="2B15F3D6" w:rsidR="00AD15E7" w:rsidRPr="00AD15E7" w:rsidRDefault="00AD15E7">
      <w:r w:rsidRPr="00AD15E7">
        <w:t>The interlinked nature of the dat</w:t>
      </w:r>
      <w:r w:rsidR="00C10348">
        <w:t>a</w:t>
      </w:r>
      <w:r w:rsidRPr="00AD15E7">
        <w:t xml:space="preserve"> that we use on a regular basis is becoming increasingly complex, as is the algorithms that control them. In this particular case</w:t>
      </w:r>
      <w:r>
        <w:t>,</w:t>
      </w:r>
      <w:r w:rsidRPr="00AD15E7">
        <w:t xml:space="preserve"> an investigative journalist uncovered links </w:t>
      </w:r>
      <w:r>
        <w:t>to a</w:t>
      </w:r>
      <w:r w:rsidRPr="00AD15E7">
        <w:t xml:space="preserve"> Russian propaganda troll that may or may not have been state controlled. However, it is becoming increasingly clear that state level actors are beginning to dominate the control of the digital landscape</w:t>
      </w:r>
      <w:r>
        <w:t xml:space="preserve"> and</w:t>
      </w:r>
      <w:r w:rsidRPr="00AD15E7">
        <w:t xml:space="preserve"> the data that it contains.</w:t>
      </w:r>
      <w:r>
        <w:t xml:space="preserve"> </w:t>
      </w:r>
      <w:r w:rsidRPr="00AD15E7">
        <w:t xml:space="preserve">There is a saying </w:t>
      </w:r>
      <w:r w:rsidR="008D74CE">
        <w:t>that</w:t>
      </w:r>
      <w:r w:rsidRPr="00AD15E7">
        <w:t xml:space="preserve"> one </w:t>
      </w:r>
      <w:r w:rsidR="008D74CE">
        <w:t>person</w:t>
      </w:r>
      <w:r w:rsidR="008D74CE" w:rsidRPr="00AD15E7">
        <w:t>’s</w:t>
      </w:r>
      <w:r w:rsidRPr="00AD15E7">
        <w:t xml:space="preserve"> terrorist is </w:t>
      </w:r>
      <w:r w:rsidR="008D74CE" w:rsidRPr="00AD15E7">
        <w:t xml:space="preserve">another </w:t>
      </w:r>
      <w:r w:rsidR="008D74CE">
        <w:t xml:space="preserve">person’s </w:t>
      </w:r>
      <w:r w:rsidRPr="00AD15E7">
        <w:t xml:space="preserve">freedom fighter. Our governments </w:t>
      </w:r>
      <w:r w:rsidR="008D74CE">
        <w:t>tell us outright</w:t>
      </w:r>
      <w:r w:rsidRPr="00AD15E7">
        <w:t xml:space="preserve"> that if we have done nothing wrong, then we have nothing to fear, but that feels disingenuous. It suggests that </w:t>
      </w:r>
      <w:r w:rsidR="004F487E" w:rsidRPr="00AD15E7">
        <w:t>governments</w:t>
      </w:r>
      <w:r w:rsidRPr="00AD15E7">
        <w:t xml:space="preserve"> use of covert surveillance regimes should be normalised and that in essence, </w:t>
      </w:r>
      <w:r w:rsidR="004F487E">
        <w:t>they are doing it</w:t>
      </w:r>
      <w:r w:rsidRPr="00AD15E7">
        <w:t xml:space="preserve"> to protect us</w:t>
      </w:r>
      <w:r>
        <w:t xml:space="preserve">, </w:t>
      </w:r>
      <w:r w:rsidR="004F487E">
        <w:t>a</w:t>
      </w:r>
      <w:r w:rsidRPr="00AD15E7">
        <w:t xml:space="preserve">nd that we should surrender our privacy in order for them to be effective in doing so. </w:t>
      </w:r>
      <w:r w:rsidR="004F487E" w:rsidRPr="00AD15E7">
        <w:t>However,</w:t>
      </w:r>
      <w:r w:rsidRPr="00AD15E7">
        <w:t xml:space="preserve"> one would wonder what their motivations are and where the line blurs from prevention </w:t>
      </w:r>
      <w:r w:rsidR="004F487E">
        <w:t>to</w:t>
      </w:r>
      <w:r w:rsidRPr="00AD15E7">
        <w:t xml:space="preserve"> infiltration.</w:t>
      </w:r>
    </w:p>
    <w:p w14:paraId="4A597B7F" w14:textId="2F873BBD" w:rsidR="00D93A90" w:rsidRDefault="00AD15E7">
      <w:r w:rsidRPr="00AD15E7">
        <w:t xml:space="preserve">The recent cases of undercover police officers engaging in physical relationships with activists shows that this is a grey </w:t>
      </w:r>
      <w:r w:rsidR="008D74CE" w:rsidRPr="00AD15E7">
        <w:t>area,</w:t>
      </w:r>
      <w:r w:rsidR="004F487E" w:rsidRPr="004F487E">
        <w:t xml:space="preserve"> and it is very easy for the lines to be crossed</w:t>
      </w:r>
      <w:r w:rsidR="008D74CE">
        <w:t>,</w:t>
      </w:r>
      <w:r w:rsidR="004F487E" w:rsidRPr="004F487E">
        <w:t xml:space="preserve"> and it is also very rare indeed </w:t>
      </w:r>
      <w:r w:rsidR="008D74CE">
        <w:t>that</w:t>
      </w:r>
      <w:r w:rsidR="004F487E" w:rsidRPr="004F487E">
        <w:t xml:space="preserve"> the perpetrator</w:t>
      </w:r>
      <w:r w:rsidR="004F487E">
        <w:t xml:space="preserve">s </w:t>
      </w:r>
      <w:r w:rsidR="004F487E" w:rsidRPr="004F487E">
        <w:t xml:space="preserve">of these acts </w:t>
      </w:r>
      <w:r w:rsidR="004F487E">
        <w:t>are</w:t>
      </w:r>
      <w:r w:rsidR="004F487E" w:rsidRPr="004F487E">
        <w:t xml:space="preserve"> brought to light and justice.</w:t>
      </w:r>
    </w:p>
    <w:p w14:paraId="08ED8F06" w14:textId="45FC7CC5" w:rsidR="00D93A90" w:rsidRDefault="00D93A90">
      <w:r w:rsidRPr="00D93A90">
        <w:t>Rogers discuss</w:t>
      </w:r>
      <w:r w:rsidR="008D74CE">
        <w:t>es</w:t>
      </w:r>
      <w:r w:rsidRPr="00D93A90">
        <w:t xml:space="preserve"> the </w:t>
      </w:r>
      <w:r w:rsidR="00CE16E2">
        <w:t>L</w:t>
      </w:r>
      <w:r w:rsidRPr="00D93A90">
        <w:t xml:space="preserve">ady in </w:t>
      </w:r>
      <w:r w:rsidR="00CE16E2">
        <w:t>R</w:t>
      </w:r>
      <w:r w:rsidRPr="00D93A90">
        <w:t xml:space="preserve">ed and </w:t>
      </w:r>
      <w:r w:rsidR="00CE16E2">
        <w:t>Gezi</w:t>
      </w:r>
      <w:r w:rsidRPr="00D93A90">
        <w:t xml:space="preserve"> </w:t>
      </w:r>
      <w:r w:rsidR="00CE16E2">
        <w:t>P</w:t>
      </w:r>
      <w:r w:rsidRPr="00D93A90">
        <w:t>ark picture data</w:t>
      </w:r>
      <w:r w:rsidR="008D74CE">
        <w:t xml:space="preserve"> (pages </w:t>
      </w:r>
      <w:r w:rsidR="00820C7E">
        <w:t>235</w:t>
      </w:r>
      <w:r w:rsidR="008D74CE">
        <w:t xml:space="preserve"> to </w:t>
      </w:r>
      <w:r w:rsidR="00820C7E">
        <w:t>236</w:t>
      </w:r>
      <w:r w:rsidR="008D74CE">
        <w:t>)</w:t>
      </w:r>
      <w:r w:rsidRPr="00D93A90">
        <w:t xml:space="preserve"> and explains that the </w:t>
      </w:r>
      <w:r w:rsidR="00CE16E2">
        <w:t xml:space="preserve">Turkish </w:t>
      </w:r>
      <w:r w:rsidRPr="00D93A90">
        <w:t xml:space="preserve">government effectively censored Twitter </w:t>
      </w:r>
      <w:r w:rsidR="00B97FEF" w:rsidRPr="00D93A90">
        <w:t>u</w:t>
      </w:r>
      <w:r w:rsidR="00B97FEF">
        <w:t>sers’</w:t>
      </w:r>
      <w:r w:rsidR="00CE16E2">
        <w:t xml:space="preserve"> </w:t>
      </w:r>
      <w:r w:rsidRPr="00D93A90">
        <w:t>stories and accounts of people that were at the protests against the government. But what point does a social media provider have a responsibility to ensure that the stories that people are publishing online are portrayed accurately, and when should they bow to the pressure of state to authority?</w:t>
      </w:r>
      <w:r w:rsidR="00CE16E2">
        <w:t xml:space="preserve"> </w:t>
      </w:r>
      <w:r w:rsidR="00C10348">
        <w:t xml:space="preserve"> </w:t>
      </w:r>
      <w:r w:rsidRPr="00D93A90">
        <w:t xml:space="preserve">Mcluhan says that the </w:t>
      </w:r>
      <w:r w:rsidR="00C10348">
        <w:t>M</w:t>
      </w:r>
      <w:r w:rsidRPr="00D93A90">
        <w:t xml:space="preserve">edia is the </w:t>
      </w:r>
      <w:r w:rsidR="00C10348">
        <w:t>M</w:t>
      </w:r>
      <w:r w:rsidRPr="00D93A90">
        <w:t xml:space="preserve">essage, and if that is the case then perhaps the message needs to be placed in greater importance </w:t>
      </w:r>
      <w:r w:rsidR="00F17FE0">
        <w:t>than</w:t>
      </w:r>
      <w:r w:rsidRPr="00D93A90">
        <w:t xml:space="preserve"> the dictates of authoritarianism.</w:t>
      </w:r>
    </w:p>
    <w:p w14:paraId="2E829EAE" w14:textId="717245EE" w:rsidR="008D74CE" w:rsidRDefault="00CE16E2">
      <w:r w:rsidRPr="00CE16E2">
        <w:t>There is a counter argument that would certainly come from authority that insurrection, civil disobedience</w:t>
      </w:r>
      <w:r w:rsidR="008D74CE">
        <w:t>,</w:t>
      </w:r>
      <w:r w:rsidRPr="00CE16E2">
        <w:t xml:space="preserve"> et cetera needs to be curbed, </w:t>
      </w:r>
      <w:r w:rsidR="008D74CE">
        <w:t>but t</w:t>
      </w:r>
      <w:r w:rsidR="008D74CE" w:rsidRPr="008D74CE">
        <w:t>here</w:t>
      </w:r>
      <w:r w:rsidR="008D74CE">
        <w:t xml:space="preserve"> is</w:t>
      </w:r>
      <w:r w:rsidR="008D74CE" w:rsidRPr="008D74CE">
        <w:t xml:space="preserve"> a reason you separate military and the police. One fights the enemies of the state, the other serves and protects the people</w:t>
      </w:r>
      <w:r w:rsidR="008D74CE">
        <w:t>. W</w:t>
      </w:r>
      <w:r w:rsidR="008D74CE" w:rsidRPr="00CE16E2">
        <w:t xml:space="preserve">hen </w:t>
      </w:r>
      <w:r w:rsidR="008D74CE">
        <w:t xml:space="preserve">one becomes the other, </w:t>
      </w:r>
      <w:r w:rsidR="008D74CE" w:rsidRPr="00CE16E2">
        <w:t xml:space="preserve">then it is not uncommon for the people to become the enemy. </w:t>
      </w:r>
      <w:r w:rsidR="008D74CE">
        <w:t xml:space="preserve"> </w:t>
      </w:r>
    </w:p>
    <w:p w14:paraId="0EBE8B0C" w14:textId="1F83FC69" w:rsidR="00CE16E2" w:rsidRDefault="00CE16E2">
      <w:r w:rsidRPr="00CE16E2">
        <w:t xml:space="preserve">This behaviour is not limited to what we would consider oppressive regimes, it was also used in 1983 in the United Kingdom by Margaret Thatcher. The police were effectively used as soldiers in order to break up the </w:t>
      </w:r>
      <w:r w:rsidR="00646308">
        <w:t>C</w:t>
      </w:r>
      <w:r w:rsidRPr="00CE16E2">
        <w:t xml:space="preserve">oal </w:t>
      </w:r>
      <w:r w:rsidR="00646308">
        <w:t>M</w:t>
      </w:r>
      <w:r w:rsidRPr="00CE16E2">
        <w:t xml:space="preserve">iner strikes, culminating in the use of mounted charges to disperse and injure men who had </w:t>
      </w:r>
      <w:r>
        <w:t>g</w:t>
      </w:r>
      <w:r w:rsidRPr="00CE16E2">
        <w:t>enuine grievance</w:t>
      </w:r>
      <w:r>
        <w:t>s</w:t>
      </w:r>
      <w:r w:rsidRPr="00CE16E2">
        <w:t xml:space="preserve"> with their working conditions and pay. Had this tableau played out in the 21st century then it is almost certain that the government would have likewise restricted coverage on social media.</w:t>
      </w:r>
    </w:p>
    <w:p w14:paraId="39E963AB" w14:textId="254F94CF" w:rsidR="00820C7E" w:rsidRPr="00820C7E" w:rsidRDefault="00820C7E" w:rsidP="00820C7E">
      <w:pPr>
        <w:ind w:left="567" w:right="567"/>
        <w:rPr>
          <w:sz w:val="20"/>
          <w:szCs w:val="20"/>
        </w:rPr>
      </w:pPr>
      <w:r w:rsidRPr="00820C7E">
        <w:rPr>
          <w:sz w:val="20"/>
          <w:szCs w:val="20"/>
        </w:rPr>
        <w:t>“</w:t>
      </w:r>
      <w:r w:rsidRPr="00820C7E">
        <w:rPr>
          <w:sz w:val="20"/>
          <w:szCs w:val="20"/>
        </w:rPr>
        <w:t>With respect to the picture-takers, the top images that endure are from particular camera brands and models, such as a Canon EOS or Nikon D series (both professional grade, the latter retailing at €5000). At the top are not cheap pictures, so to speak; however, much lower down in the ranks (and by overall quantity) more economical, pocket-sized devices are well represented.</w:t>
      </w:r>
      <w:r w:rsidRPr="00820C7E">
        <w:rPr>
          <w:sz w:val="20"/>
          <w:szCs w:val="20"/>
        </w:rPr>
        <w:t>” (Rogers, p238)</w:t>
      </w:r>
    </w:p>
    <w:p w14:paraId="5EFFCC1C" w14:textId="0A2ABB12" w:rsidR="00646308" w:rsidRDefault="00820C7E">
      <w:r>
        <w:br/>
      </w:r>
      <w:r w:rsidR="000F46BA" w:rsidRPr="000F46BA">
        <w:t>It was interesting to see that the camera brands that took the pictures were almost exclusively professiona</w:t>
      </w:r>
      <w:r w:rsidR="00133D2D">
        <w:t>l. T</w:t>
      </w:r>
      <w:r w:rsidR="000F46BA" w:rsidRPr="000F46BA">
        <w:t>his is something that Rodgers note</w:t>
      </w:r>
      <w:r w:rsidR="002A37CE">
        <w:t>s</w:t>
      </w:r>
      <w:r w:rsidR="000F46BA" w:rsidRPr="000F46BA">
        <w:t xml:space="preserve"> </w:t>
      </w:r>
      <w:r w:rsidR="002A37CE" w:rsidRPr="000F46BA">
        <w:t>specifically</w:t>
      </w:r>
      <w:r w:rsidR="002A37CE">
        <w:t xml:space="preserve"> and</w:t>
      </w:r>
      <w:r w:rsidR="000F46BA" w:rsidRPr="000F46BA">
        <w:t xml:space="preserve"> suggests that despite the wealth </w:t>
      </w:r>
      <w:r w:rsidR="000F46BA" w:rsidRPr="000F46BA">
        <w:lastRenderedPageBreak/>
        <w:t>of images coming from user</w:t>
      </w:r>
      <w:r w:rsidR="000F46BA">
        <w:t>-</w:t>
      </w:r>
      <w:r w:rsidR="000F46BA" w:rsidRPr="000F46BA">
        <w:t xml:space="preserve">created content, it is still professional journalists who have their images consistently </w:t>
      </w:r>
      <w:r w:rsidR="00133D2D">
        <w:t>curated</w:t>
      </w:r>
      <w:r w:rsidR="000F46BA" w:rsidRPr="000F46BA">
        <w:t xml:space="preserve"> and often form the top results on Google. </w:t>
      </w:r>
      <w:r w:rsidR="000F46BA">
        <w:t>T</w:t>
      </w:r>
      <w:r w:rsidR="000F46BA" w:rsidRPr="000F46BA">
        <w:t>his reminds me heavily</w:t>
      </w:r>
      <w:r w:rsidR="000F46BA">
        <w:t xml:space="preserve"> </w:t>
      </w:r>
      <w:r w:rsidR="000F46BA" w:rsidRPr="000F46BA">
        <w:t xml:space="preserve">of agenda setting theory developed by McCombs </w:t>
      </w:r>
      <w:r w:rsidR="000F46BA">
        <w:t xml:space="preserve">and Shaw </w:t>
      </w:r>
      <w:r w:rsidR="000F46BA" w:rsidRPr="000F46BA">
        <w:t>in 1968</w:t>
      </w:r>
      <w:r w:rsidR="00133D2D">
        <w:t xml:space="preserve"> and reviewed in 2014</w:t>
      </w:r>
      <w:r>
        <w:rPr>
          <w:noProof/>
        </w:rPr>
        <w:t xml:space="preserve"> </w:t>
      </w:r>
      <w:r w:rsidRPr="00133D2D">
        <w:rPr>
          <w:noProof/>
        </w:rPr>
        <w:t>(McCombs, 2014)</w:t>
      </w:r>
      <w:r w:rsidR="00133D2D">
        <w:t>.</w:t>
      </w:r>
      <w:r w:rsidR="000F46BA">
        <w:t xml:space="preserve"> </w:t>
      </w:r>
      <w:r w:rsidR="000F46BA" w:rsidRPr="000F46BA">
        <w:t xml:space="preserve">to paraphrase their work, they suggested that media has a great influence on their audience by instilling what they </w:t>
      </w:r>
      <w:r w:rsidR="000F46BA" w:rsidRPr="000F46BA">
        <w:rPr>
          <w:i/>
          <w:iCs/>
        </w:rPr>
        <w:t xml:space="preserve">should </w:t>
      </w:r>
      <w:r w:rsidR="000F46BA" w:rsidRPr="000F46BA">
        <w:t>think about</w:t>
      </w:r>
      <w:r w:rsidR="000F46BA">
        <w:t>,</w:t>
      </w:r>
      <w:r w:rsidR="000F46BA" w:rsidRPr="000F46BA">
        <w:t xml:space="preserve"> instead of what they </w:t>
      </w:r>
      <w:r w:rsidR="000F46BA" w:rsidRPr="000F46BA">
        <w:rPr>
          <w:i/>
          <w:iCs/>
        </w:rPr>
        <w:t>actually</w:t>
      </w:r>
      <w:r w:rsidR="000F46BA" w:rsidRPr="000F46BA">
        <w:t xml:space="preserve"> think</w:t>
      </w:r>
      <w:r w:rsidR="000F46BA">
        <w:t>.</w:t>
      </w:r>
      <w:r w:rsidR="000F46BA" w:rsidRPr="000F46BA">
        <w:t xml:space="preserve"> </w:t>
      </w:r>
      <w:r w:rsidR="000F46BA">
        <w:t>For example</w:t>
      </w:r>
      <w:r w:rsidR="000F46BA" w:rsidRPr="000F46BA">
        <w:t xml:space="preserve">, if a news item is covered frequently and prominently, the audience will regard the issue as more important. Macomb's and </w:t>
      </w:r>
      <w:r w:rsidR="002A37CE">
        <w:t>Shaw’s</w:t>
      </w:r>
      <w:r w:rsidR="000F46BA" w:rsidRPr="000F46BA">
        <w:t xml:space="preserve"> work even in the 1960s was not </w:t>
      </w:r>
      <w:r w:rsidR="002A37CE">
        <w:t>new;</w:t>
      </w:r>
      <w:r w:rsidR="000F46BA" w:rsidRPr="000F46BA">
        <w:t xml:space="preserve"> with the history of agenda setting being traced back to Walter </w:t>
      </w:r>
      <w:r w:rsidR="002A37CE">
        <w:t>L</w:t>
      </w:r>
      <w:r w:rsidR="000F46BA" w:rsidRPr="000F46BA">
        <w:t>ippman's 1922 book</w:t>
      </w:r>
      <w:r w:rsidR="002A37CE">
        <w:t>,</w:t>
      </w:r>
      <w:r w:rsidR="000F46BA" w:rsidRPr="000F46BA">
        <w:t xml:space="preserve"> </w:t>
      </w:r>
      <w:r w:rsidR="002A37CE">
        <w:rPr>
          <w:i/>
          <w:iCs/>
        </w:rPr>
        <w:t>P</w:t>
      </w:r>
      <w:r w:rsidR="000F46BA" w:rsidRPr="002A37CE">
        <w:rPr>
          <w:i/>
          <w:iCs/>
        </w:rPr>
        <w:t xml:space="preserve">ublic </w:t>
      </w:r>
      <w:r w:rsidR="002A37CE">
        <w:rPr>
          <w:i/>
          <w:iCs/>
        </w:rPr>
        <w:t>O</w:t>
      </w:r>
      <w:r w:rsidR="000F46BA" w:rsidRPr="002A37CE">
        <w:rPr>
          <w:i/>
          <w:iCs/>
        </w:rPr>
        <w:t>pinion</w:t>
      </w:r>
      <w:r w:rsidR="000F46BA" w:rsidRPr="000F46BA">
        <w:t>. He argued that the mass media</w:t>
      </w:r>
      <w:r w:rsidR="002A37CE">
        <w:t xml:space="preserve"> is</w:t>
      </w:r>
      <w:r w:rsidR="000F46BA" w:rsidRPr="000F46BA">
        <w:t xml:space="preserve"> the princip</w:t>
      </w:r>
      <w:r w:rsidR="002A37CE">
        <w:t>al</w:t>
      </w:r>
      <w:r w:rsidR="000F46BA" w:rsidRPr="000F46BA">
        <w:t xml:space="preserve"> conne</w:t>
      </w:r>
      <w:r w:rsidR="002A37CE">
        <w:t>ct</w:t>
      </w:r>
      <w:r w:rsidR="000F46BA" w:rsidRPr="000F46BA">
        <w:t xml:space="preserve">ion between events in the world and the images in the minds of the public. Although this isn't what we today call </w:t>
      </w:r>
      <w:r w:rsidR="002A37CE">
        <w:t>‘</w:t>
      </w:r>
      <w:r w:rsidR="000F46BA" w:rsidRPr="000F46BA">
        <w:t>agenda setting</w:t>
      </w:r>
      <w:r w:rsidR="002A37CE">
        <w:t>’,</w:t>
      </w:r>
      <w:r w:rsidR="000F46BA" w:rsidRPr="000F46BA">
        <w:t xml:space="preserve"> his thinking is clearly along those lines and highlights even at this early stage the impact that media can have on large scale audiences.</w:t>
      </w:r>
    </w:p>
    <w:p w14:paraId="50F15F10" w14:textId="2C2FAAFC" w:rsidR="00133D2D" w:rsidRDefault="00BC4282">
      <w:r w:rsidRPr="00BC4282">
        <w:t>Final section of this chapter deals with governmental cookies, and Rodgers suggests that the cookies used inside a web browsers I've become part of a larger scale ecosystem that enabled the tracking of behaviour across the web</w:t>
      </w:r>
      <w:r>
        <w:t>.</w:t>
      </w:r>
    </w:p>
    <w:p w14:paraId="3BBF5B44" w14:textId="2423E350" w:rsidR="00BC4282" w:rsidRDefault="00BC4282" w:rsidP="00BC4282">
      <w:pPr>
        <w:ind w:left="567" w:right="567"/>
      </w:pPr>
      <w:r>
        <w:t>“</w:t>
      </w:r>
      <w:r w:rsidRPr="00BC4282">
        <w:t>Some years later, cookies were no longer primarily considered aids for remembering user preferences and the lubricant for frictionless surfing (Elmer, 2003). They had become part of an ecosystem, together with so-called ‘third-party elements’, that enable the tracking of behaviour across the web (pulling data from users) as well as the customization of content and ads delivered (pushing content to users) (Gerlitz and Helmond, 2013)</w:t>
      </w:r>
      <w:r>
        <w:t>”</w:t>
      </w:r>
    </w:p>
    <w:p w14:paraId="6B87F2FF" w14:textId="34A1FB73" w:rsidR="00A421A3" w:rsidRDefault="00BC4282">
      <w:r w:rsidRPr="00BC4282">
        <w:t>In the United Kingdom, social media mass surveillance is permitted by the law. Charles Farr, a senior security official in the UK government detailed that searches on Google, Facebook and a vast range of other social media as well as emails are monitored for security services as they are deemed to be external communications.</w:t>
      </w:r>
      <w:sdt>
        <w:sdtPr>
          <w:id w:val="-970670276"/>
          <w:citation/>
        </w:sdtPr>
        <w:sdtContent>
          <w:r w:rsidR="00A421A3">
            <w:fldChar w:fldCharType="begin"/>
          </w:r>
          <w:r w:rsidR="00A421A3">
            <w:instrText xml:space="preserve"> CITATION Owe14 \l 2057 </w:instrText>
          </w:r>
          <w:r w:rsidR="00A421A3">
            <w:fldChar w:fldCharType="separate"/>
          </w:r>
          <w:r w:rsidR="00A421A3">
            <w:rPr>
              <w:noProof/>
            </w:rPr>
            <w:t xml:space="preserve"> </w:t>
          </w:r>
          <w:r w:rsidR="00A421A3" w:rsidRPr="00A421A3">
            <w:rPr>
              <w:noProof/>
            </w:rPr>
            <w:t>(Ballcott, 2014)</w:t>
          </w:r>
          <w:r w:rsidR="00A421A3">
            <w:fldChar w:fldCharType="end"/>
          </w:r>
        </w:sdtContent>
      </w:sdt>
      <w:r w:rsidR="00A421A3">
        <w:br/>
      </w:r>
      <w:r w:rsidR="00A421A3" w:rsidRPr="00A421A3">
        <w:t xml:space="preserve"> despite demands for the regulation of investigatory powers act to be overhauled, the government not only refused to do so but has in the years since increased control over the amount of data that can be accessed both with and without warrant. this means that </w:t>
      </w:r>
      <w:r w:rsidR="00A421A3">
        <w:t xml:space="preserve">GCHQ </w:t>
      </w:r>
      <w:r w:rsidR="00A421A3" w:rsidRPr="00A421A3">
        <w:t>effectively has a scope of activity but can reach into every aspect of a persons life</w:t>
      </w:r>
      <w:r w:rsidR="00A421A3">
        <w:t xml:space="preserve">, </w:t>
      </w:r>
      <w:r w:rsidR="00A421A3" w:rsidRPr="00A421A3">
        <w:t>and can be justified under the gu</w:t>
      </w:r>
      <w:r w:rsidR="00A421A3">
        <w:t>ise</w:t>
      </w:r>
      <w:r w:rsidR="00A421A3" w:rsidRPr="00A421A3">
        <w:t xml:space="preserve"> of external communications that can be monitored under general warrants according to Section 8 of the act.</w:t>
      </w:r>
    </w:p>
    <w:p w14:paraId="56AE6B0E" w14:textId="13DA956B" w:rsidR="00133D2D" w:rsidRDefault="00A421A3">
      <w:r w:rsidRPr="00A421A3">
        <w:t>it is interesting to note that members of parliament are exempted from this level of surveillance on the grounds that their communications are considered to be nationally sensitive. Despite this we are told that members of the public should expect a level of intrusion into their lives and that if they have done nothing wrong, then they have nothing to fear.</w:t>
      </w:r>
    </w:p>
    <w:p w14:paraId="5221CFC2" w14:textId="762C26F5" w:rsidR="00133D2D" w:rsidRDefault="00133D2D"/>
    <w:p w14:paraId="16DF6AE9" w14:textId="14152152" w:rsidR="00133D2D" w:rsidRDefault="00133D2D"/>
    <w:sdt>
      <w:sdtPr>
        <w:rPr>
          <w:rFonts w:asciiTheme="minorHAnsi" w:eastAsiaTheme="minorHAnsi" w:hAnsiTheme="minorHAnsi" w:cstheme="minorBidi"/>
          <w:color w:val="auto"/>
          <w:sz w:val="22"/>
          <w:szCs w:val="22"/>
          <w:lang w:val="en-GB"/>
        </w:rPr>
        <w:id w:val="1517875888"/>
        <w:docPartObj>
          <w:docPartGallery w:val="Bibliographies"/>
          <w:docPartUnique/>
        </w:docPartObj>
      </w:sdtPr>
      <w:sdtEndPr/>
      <w:sdtContent>
        <w:p w14:paraId="4208F2F4" w14:textId="5276A8F2" w:rsidR="00133D2D" w:rsidRDefault="00133D2D">
          <w:pPr>
            <w:pStyle w:val="Heading1"/>
          </w:pPr>
          <w:r>
            <w:t>Bibliography</w:t>
          </w:r>
        </w:p>
        <w:sdt>
          <w:sdtPr>
            <w:id w:val="111145805"/>
            <w:bibliography/>
          </w:sdtPr>
          <w:sdtEndPr/>
          <w:sdtContent>
            <w:p w14:paraId="1474C95F" w14:textId="77777777" w:rsidR="00A421A3" w:rsidRDefault="00133D2D" w:rsidP="00A421A3">
              <w:pPr>
                <w:pStyle w:val="Bibliography"/>
                <w:rPr>
                  <w:noProof/>
                  <w:sz w:val="24"/>
                  <w:szCs w:val="24"/>
                  <w:lang w:val="en-US"/>
                </w:rPr>
              </w:pPr>
              <w:r>
                <w:fldChar w:fldCharType="begin"/>
              </w:r>
              <w:r>
                <w:instrText xml:space="preserve"> BIBLIOGRAPHY </w:instrText>
              </w:r>
              <w:r>
                <w:fldChar w:fldCharType="separate"/>
              </w:r>
              <w:r w:rsidR="00A421A3">
                <w:rPr>
                  <w:noProof/>
                  <w:lang w:val="en-US"/>
                </w:rPr>
                <w:t xml:space="preserve">Ballcott, O., 2014. </w:t>
              </w:r>
              <w:r w:rsidR="00A421A3">
                <w:rPr>
                  <w:i/>
                  <w:iCs/>
                  <w:noProof/>
                  <w:lang w:val="en-US"/>
                </w:rPr>
                <w:t xml:space="preserve">Social media mass surveillance is permitted by law, says top UK official, </w:t>
              </w:r>
              <w:r w:rsidR="00A421A3">
                <w:rPr>
                  <w:noProof/>
                  <w:lang w:val="en-US"/>
                </w:rPr>
                <w:t>London: Guardian.</w:t>
              </w:r>
            </w:p>
            <w:p w14:paraId="5F5DEC12" w14:textId="77777777" w:rsidR="00A421A3" w:rsidRDefault="00A421A3" w:rsidP="00A421A3">
              <w:pPr>
                <w:pStyle w:val="Bibliography"/>
                <w:rPr>
                  <w:noProof/>
                  <w:lang w:val="en-US"/>
                </w:rPr>
              </w:pPr>
              <w:r>
                <w:rPr>
                  <w:noProof/>
                  <w:lang w:val="en-US"/>
                </w:rPr>
                <w:t xml:space="preserve">Lippmann, W., 1922. </w:t>
              </w:r>
              <w:r>
                <w:rPr>
                  <w:i/>
                  <w:iCs/>
                  <w:noProof/>
                  <w:lang w:val="en-US"/>
                </w:rPr>
                <w:t xml:space="preserve">Public Opinion. </w:t>
              </w:r>
              <w:r>
                <w:rPr>
                  <w:noProof/>
                  <w:lang w:val="en-US"/>
                </w:rPr>
                <w:t>1 ed. New York: Routledge.</w:t>
              </w:r>
            </w:p>
            <w:p w14:paraId="31364EF9" w14:textId="77777777" w:rsidR="00A421A3" w:rsidRDefault="00A421A3" w:rsidP="00A421A3">
              <w:pPr>
                <w:pStyle w:val="Bibliography"/>
                <w:rPr>
                  <w:noProof/>
                  <w:lang w:val="en-US"/>
                </w:rPr>
              </w:pPr>
              <w:r>
                <w:rPr>
                  <w:noProof/>
                  <w:lang w:val="en-US"/>
                </w:rPr>
                <w:t xml:space="preserve">Maxwell E McCombs, D. L. S. D. H. W., 2014. New Directions in Agenda-Setting Theory and Research. </w:t>
              </w:r>
              <w:r>
                <w:rPr>
                  <w:i/>
                  <w:iCs/>
                  <w:noProof/>
                  <w:lang w:val="en-US"/>
                </w:rPr>
                <w:t xml:space="preserve">Mass Communication and Society, </w:t>
              </w:r>
              <w:r>
                <w:rPr>
                  <w:noProof/>
                  <w:lang w:val="en-US"/>
                </w:rPr>
                <w:t>17(6), pp. 781-802.</w:t>
              </w:r>
            </w:p>
            <w:p w14:paraId="6C5D657C" w14:textId="278272B1" w:rsidR="00133D2D" w:rsidRDefault="00133D2D" w:rsidP="00A421A3">
              <w:r>
                <w:rPr>
                  <w:b/>
                  <w:bCs/>
                  <w:noProof/>
                </w:rPr>
                <w:lastRenderedPageBreak/>
                <w:fldChar w:fldCharType="end"/>
              </w:r>
            </w:p>
          </w:sdtContent>
        </w:sdt>
      </w:sdtContent>
    </w:sdt>
    <w:p w14:paraId="09AC14DE" w14:textId="77777777" w:rsidR="00133D2D" w:rsidRDefault="00133D2D"/>
    <w:sectPr w:rsidR="00133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E7"/>
    <w:rsid w:val="000D5D55"/>
    <w:rsid w:val="000F46BA"/>
    <w:rsid w:val="00133D2D"/>
    <w:rsid w:val="002A37CE"/>
    <w:rsid w:val="004F487E"/>
    <w:rsid w:val="00646308"/>
    <w:rsid w:val="00820C7E"/>
    <w:rsid w:val="008D74CE"/>
    <w:rsid w:val="00A421A3"/>
    <w:rsid w:val="00AD15E7"/>
    <w:rsid w:val="00B20D1A"/>
    <w:rsid w:val="00B97FEF"/>
    <w:rsid w:val="00BB57D5"/>
    <w:rsid w:val="00BC4282"/>
    <w:rsid w:val="00C10348"/>
    <w:rsid w:val="00CE16E2"/>
    <w:rsid w:val="00D93A90"/>
    <w:rsid w:val="00F17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CD30"/>
  <w15:chartTrackingRefBased/>
  <w15:docId w15:val="{B901C63D-3171-4D02-BFE8-68B34BA8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2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4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3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3D2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3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169">
      <w:bodyDiv w:val="1"/>
      <w:marLeft w:val="0"/>
      <w:marRight w:val="0"/>
      <w:marTop w:val="0"/>
      <w:marBottom w:val="0"/>
      <w:divBdr>
        <w:top w:val="none" w:sz="0" w:space="0" w:color="auto"/>
        <w:left w:val="none" w:sz="0" w:space="0" w:color="auto"/>
        <w:bottom w:val="none" w:sz="0" w:space="0" w:color="auto"/>
        <w:right w:val="none" w:sz="0" w:space="0" w:color="auto"/>
      </w:divBdr>
    </w:div>
    <w:div w:id="202909589">
      <w:bodyDiv w:val="1"/>
      <w:marLeft w:val="0"/>
      <w:marRight w:val="0"/>
      <w:marTop w:val="0"/>
      <w:marBottom w:val="0"/>
      <w:divBdr>
        <w:top w:val="none" w:sz="0" w:space="0" w:color="auto"/>
        <w:left w:val="none" w:sz="0" w:space="0" w:color="auto"/>
        <w:bottom w:val="none" w:sz="0" w:space="0" w:color="auto"/>
        <w:right w:val="none" w:sz="0" w:space="0" w:color="auto"/>
      </w:divBdr>
    </w:div>
    <w:div w:id="279142467">
      <w:bodyDiv w:val="1"/>
      <w:marLeft w:val="0"/>
      <w:marRight w:val="0"/>
      <w:marTop w:val="0"/>
      <w:marBottom w:val="0"/>
      <w:divBdr>
        <w:top w:val="none" w:sz="0" w:space="0" w:color="auto"/>
        <w:left w:val="none" w:sz="0" w:space="0" w:color="auto"/>
        <w:bottom w:val="none" w:sz="0" w:space="0" w:color="auto"/>
        <w:right w:val="none" w:sz="0" w:space="0" w:color="auto"/>
      </w:divBdr>
    </w:div>
    <w:div w:id="622925098">
      <w:bodyDiv w:val="1"/>
      <w:marLeft w:val="0"/>
      <w:marRight w:val="0"/>
      <w:marTop w:val="0"/>
      <w:marBottom w:val="0"/>
      <w:divBdr>
        <w:top w:val="none" w:sz="0" w:space="0" w:color="auto"/>
        <w:left w:val="none" w:sz="0" w:space="0" w:color="auto"/>
        <w:bottom w:val="none" w:sz="0" w:space="0" w:color="auto"/>
        <w:right w:val="none" w:sz="0" w:space="0" w:color="auto"/>
      </w:divBdr>
    </w:div>
    <w:div w:id="1443498416">
      <w:bodyDiv w:val="1"/>
      <w:marLeft w:val="0"/>
      <w:marRight w:val="0"/>
      <w:marTop w:val="0"/>
      <w:marBottom w:val="0"/>
      <w:divBdr>
        <w:top w:val="none" w:sz="0" w:space="0" w:color="auto"/>
        <w:left w:val="none" w:sz="0" w:space="0" w:color="auto"/>
        <w:bottom w:val="none" w:sz="0" w:space="0" w:color="auto"/>
        <w:right w:val="none" w:sz="0" w:space="0" w:color="auto"/>
      </w:divBdr>
    </w:div>
    <w:div w:id="1447777603">
      <w:bodyDiv w:val="1"/>
      <w:marLeft w:val="0"/>
      <w:marRight w:val="0"/>
      <w:marTop w:val="0"/>
      <w:marBottom w:val="0"/>
      <w:divBdr>
        <w:top w:val="none" w:sz="0" w:space="0" w:color="auto"/>
        <w:left w:val="none" w:sz="0" w:space="0" w:color="auto"/>
        <w:bottom w:val="none" w:sz="0" w:space="0" w:color="auto"/>
        <w:right w:val="none" w:sz="0" w:space="0" w:color="auto"/>
      </w:divBdr>
    </w:div>
    <w:div w:id="1737195304">
      <w:bodyDiv w:val="1"/>
      <w:marLeft w:val="0"/>
      <w:marRight w:val="0"/>
      <w:marTop w:val="0"/>
      <w:marBottom w:val="0"/>
      <w:divBdr>
        <w:top w:val="none" w:sz="0" w:space="0" w:color="auto"/>
        <w:left w:val="none" w:sz="0" w:space="0" w:color="auto"/>
        <w:bottom w:val="none" w:sz="0" w:space="0" w:color="auto"/>
        <w:right w:val="none" w:sz="0" w:space="0" w:color="auto"/>
      </w:divBdr>
    </w:div>
    <w:div w:id="1975521723">
      <w:bodyDiv w:val="1"/>
      <w:marLeft w:val="0"/>
      <w:marRight w:val="0"/>
      <w:marTop w:val="0"/>
      <w:marBottom w:val="0"/>
      <w:divBdr>
        <w:top w:val="none" w:sz="0" w:space="0" w:color="auto"/>
        <w:left w:val="none" w:sz="0" w:space="0" w:color="auto"/>
        <w:bottom w:val="none" w:sz="0" w:space="0" w:color="auto"/>
        <w:right w:val="none" w:sz="0" w:space="0" w:color="auto"/>
      </w:divBdr>
    </w:div>
    <w:div w:id="20148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Max14</b:Tag>
    <b:SourceType>JournalArticle</b:SourceType>
    <b:Guid>{1B2F5E3A-01F0-4DB9-9132-37FFA2C38510}</b:Guid>
    <b:Author>
      <b:Author>
        <b:NameList>
          <b:Person>
            <b:Last>Maxwell E McCombs</b:Last>
            <b:First>Donald</b:First>
            <b:Middle>L Shaw, David H Weaver</b:Middle>
          </b:Person>
        </b:NameList>
      </b:Author>
    </b:Author>
    <b:Title>New Directions in Agenda-Setting Theory and Research</b:Title>
    <b:JournalName>Mass Communication and Society</b:JournalName>
    <b:Year>2014</b:Year>
    <b:Pages>781-802</b:Pages>
    <b:Volume>17</b:Volume>
    <b:Issue>6</b:Issue>
    <b:RefOrder>2</b:RefOrder>
  </b:Source>
  <b:Source>
    <b:Tag>Wat22</b:Tag>
    <b:SourceType>Book</b:SourceType>
    <b:Guid>{C672737C-A159-4024-89F3-642BCA447A6A}</b:Guid>
    <b:Title>Public Opinion</b:Title>
    <b:Year>1922</b:Year>
    <b:Author>
      <b:Author>
        <b:NameList>
          <b:Person>
            <b:Last>Lippmann</b:Last>
            <b:First>Water</b:First>
          </b:Person>
        </b:NameList>
      </b:Author>
    </b:Author>
    <b:City>New York</b:City>
    <b:Publisher>Routledge</b:Publisher>
    <b:Edition>1</b:Edition>
    <b:RefOrder>3</b:RefOrder>
  </b:Source>
  <b:Source>
    <b:Tag>Owe14</b:Tag>
    <b:SourceType>ElectronicSource</b:SourceType>
    <b:Guid>{C78104BF-732C-4268-8B9F-9F7EA65FD756}</b:Guid>
    <b:Title>Social media mass surveillance is permitted by law, says top UK official</b:Title>
    <b:Year>2014</b:Year>
    <b:City>London</b:City>
    <b:Publisher>Guardian</b:Publisher>
    <b:Author>
      <b:Author>
        <b:NameList>
          <b:Person>
            <b:Last>Ballcott</b:Last>
            <b:First>Owen</b:First>
          </b:Person>
        </b:NameList>
      </b:Author>
    </b:Author>
    <b:RefOrder>1</b:RefOrder>
  </b:Source>
</b:Sources>
</file>

<file path=customXml/itemProps1.xml><?xml version="1.0" encoding="utf-8"?>
<ds:datastoreItem xmlns:ds="http://schemas.openxmlformats.org/officeDocument/2006/customXml" ds:itemID="{D918B0D5-A368-4CA0-B910-DD0FBFA30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4</cp:revision>
  <dcterms:created xsi:type="dcterms:W3CDTF">2021-10-19T18:58:00Z</dcterms:created>
  <dcterms:modified xsi:type="dcterms:W3CDTF">2021-10-25T09:46:00Z</dcterms:modified>
</cp:coreProperties>
</file>