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5A75" w14:textId="709BE649" w:rsidR="00B16749" w:rsidRPr="00B16749" w:rsidRDefault="00B16749" w:rsidP="00B16749">
      <w:pPr>
        <w:pStyle w:val="Title"/>
      </w:pPr>
      <w:r w:rsidRPr="00B16749">
        <w:t xml:space="preserve">Initial </w:t>
      </w:r>
      <w:r w:rsidR="008E05DD">
        <w:t>L</w:t>
      </w:r>
      <w:r w:rsidRPr="00B16749">
        <w:t>iterature review</w:t>
      </w:r>
    </w:p>
    <w:p w14:paraId="72D0C628" w14:textId="77777777" w:rsidR="00B16749" w:rsidRPr="00B16749" w:rsidRDefault="00B16749" w:rsidP="00B16749">
      <w:pPr>
        <w:pStyle w:val="Title"/>
      </w:pPr>
    </w:p>
    <w:p w14:paraId="0656FDB2" w14:textId="670A79F4" w:rsidR="00B20D1A" w:rsidRDefault="00B16749" w:rsidP="0008311D">
      <w:pPr>
        <w:spacing w:line="360" w:lineRule="auto"/>
      </w:pPr>
      <w:r w:rsidRPr="00B16749">
        <w:t>Over the past 30 years, IT ha</w:t>
      </w:r>
      <w:r w:rsidR="007E3228">
        <w:t>s</w:t>
      </w:r>
      <w:r w:rsidRPr="00B16749">
        <w:t xml:space="preserve"> become the dominant form of designing urban environments.</w:t>
      </w:r>
      <w:r>
        <w:t xml:space="preserve"> </w:t>
      </w:r>
      <w:r w:rsidRPr="00B16749">
        <w:t>There have been numerous studies th</w:t>
      </w:r>
      <w:r>
        <w:t>at</w:t>
      </w:r>
      <w:r w:rsidRPr="00B16749">
        <w:t xml:space="preserve"> investigate the urban evolution under the effects of </w:t>
      </w:r>
      <w:r>
        <w:t xml:space="preserve">IT </w:t>
      </w:r>
      <w:sdt>
        <w:sdtPr>
          <w:id w:val="-1578442538"/>
          <w:citation/>
        </w:sdtPr>
        <w:sdtContent>
          <w:r>
            <w:fldChar w:fldCharType="begin"/>
          </w:r>
          <w:r>
            <w:instrText xml:space="preserve"> CITATION Sae16 \l 2057 </w:instrText>
          </w:r>
          <w:r>
            <w:fldChar w:fldCharType="separate"/>
          </w:r>
          <w:r w:rsidR="00403C24" w:rsidRPr="00403C24">
            <w:rPr>
              <w:noProof/>
            </w:rPr>
            <w:t>(Saed Rezaei, 2016)</w:t>
          </w:r>
          <w:r>
            <w:fldChar w:fldCharType="end"/>
          </w:r>
        </w:sdtContent>
      </w:sdt>
      <w:r>
        <w:t xml:space="preserve">, </w:t>
      </w:r>
      <w:r w:rsidRPr="00B16749">
        <w:t xml:space="preserve">and with the arrival of HS2, the impact of </w:t>
      </w:r>
      <w:r w:rsidR="008E05DD" w:rsidRPr="00B16749">
        <w:t>large-scale</w:t>
      </w:r>
      <w:r w:rsidRPr="00B16749">
        <w:t xml:space="preserve"> planning on environments in the United Kingdom has been brought to the fore.</w:t>
      </w:r>
      <w:r>
        <w:br/>
      </w:r>
      <w:r w:rsidR="008E05DD" w:rsidRPr="008E05DD">
        <w:t xml:space="preserve"> </w:t>
      </w:r>
      <w:r w:rsidR="00FA6454">
        <w:t>T</w:t>
      </w:r>
      <w:r w:rsidR="008E05DD" w:rsidRPr="008E05DD">
        <w:t>he number of important archaeological sites that have been discovered in the process of creating the new rail link has been impressive, and many of the fin</w:t>
      </w:r>
      <w:r w:rsidR="00A9137F">
        <w:t>ds</w:t>
      </w:r>
      <w:r w:rsidR="008E05DD" w:rsidRPr="008E05DD">
        <w:t xml:space="preserve"> have increased the knowledge and understanding of the complexity of people interacting with the landscape over thousands of years. </w:t>
      </w:r>
      <w:r w:rsidR="00FA6454" w:rsidRPr="008E05DD">
        <w:t>Unfortunately,</w:t>
      </w:r>
      <w:r w:rsidR="008E05DD" w:rsidRPr="008E05DD">
        <w:t xml:space="preserve"> many of these sites will be destroyed</w:t>
      </w:r>
      <w:r w:rsidR="00FA6454" w:rsidRPr="00FA6454">
        <w:t>, and that is a great loss to the country.</w:t>
      </w:r>
    </w:p>
    <w:p w14:paraId="670354C8" w14:textId="4892C6D5" w:rsidR="00FA6454" w:rsidRPr="00FA6454" w:rsidRDefault="00FA6454" w:rsidP="0008311D">
      <w:pPr>
        <w:spacing w:line="360" w:lineRule="auto"/>
      </w:pPr>
      <w:r w:rsidRPr="00FA6454">
        <w:t>Despite this, valuable data has been collected that could potentially allow these sites to be reconstructed virtually</w:t>
      </w:r>
      <w:r>
        <w:t xml:space="preserve">, </w:t>
      </w:r>
      <w:r w:rsidR="007C467F" w:rsidRPr="00FA6454">
        <w:t>enabling</w:t>
      </w:r>
      <w:r w:rsidRPr="00FA6454">
        <w:t xml:space="preserve"> people to see a world long vanished to our eyes.</w:t>
      </w:r>
    </w:p>
    <w:p w14:paraId="3CCCEE4A" w14:textId="7B974480" w:rsidR="00390E6C" w:rsidRPr="00FA6454" w:rsidRDefault="007C467F" w:rsidP="0008311D">
      <w:pPr>
        <w:spacing w:line="360" w:lineRule="auto"/>
      </w:pPr>
      <w:r w:rsidRPr="007C467F">
        <w:t>Creating simulations of the past is certainly nothing new</w:t>
      </w:r>
      <w:r>
        <w:t xml:space="preserve">; </w:t>
      </w:r>
      <w:r w:rsidRPr="007C467F">
        <w:t>museums have been creating replicas for centuries now, with the cast rooms at the Victoria and Albert Museum in London being a notable</w:t>
      </w:r>
      <w:r>
        <w:t xml:space="preserve"> </w:t>
      </w:r>
      <w:r w:rsidRPr="007C467F">
        <w:t>example</w:t>
      </w:r>
      <w:r>
        <w:t xml:space="preserve">. </w:t>
      </w:r>
      <w:r w:rsidR="00390E6C">
        <w:t>During the 1980’s</w:t>
      </w:r>
      <w:r w:rsidRPr="007C467F">
        <w:t xml:space="preserve">, the </w:t>
      </w:r>
      <w:r>
        <w:t>J</w:t>
      </w:r>
      <w:r w:rsidRPr="007C467F">
        <w:t>orvik</w:t>
      </w:r>
      <w:r>
        <w:t xml:space="preserve"> </w:t>
      </w:r>
      <w:r w:rsidRPr="007C467F">
        <w:t>Viking exhibition</w:t>
      </w:r>
      <w:r>
        <w:t xml:space="preserve"> </w:t>
      </w:r>
      <w:r w:rsidRPr="007C467F">
        <w:t xml:space="preserve">recreated the sights, </w:t>
      </w:r>
      <w:proofErr w:type="gramStart"/>
      <w:r w:rsidRPr="007C467F">
        <w:t>sounds</w:t>
      </w:r>
      <w:proofErr w:type="gramEnd"/>
      <w:r w:rsidRPr="007C467F">
        <w:t xml:space="preserve"> and smells of 9th </w:t>
      </w:r>
      <w:r w:rsidR="00390E6C">
        <w:t>C</w:t>
      </w:r>
      <w:r w:rsidRPr="007C467F">
        <w:t>entury</w:t>
      </w:r>
      <w:r w:rsidR="00390E6C">
        <w:t xml:space="preserve"> York, with multi-sensory experiences since appearing in museums and theme parks across the world.</w:t>
      </w:r>
      <w:r w:rsidR="00EF222D">
        <w:br/>
      </w:r>
      <w:r w:rsidR="008A47A6" w:rsidRPr="008A47A6">
        <w:t>More recently, online virtual environments have been used to engage people</w:t>
      </w:r>
      <w:r w:rsidR="008A47A6">
        <w:t xml:space="preserve"> as</w:t>
      </w:r>
      <w:r w:rsidR="008A47A6" w:rsidRPr="008A47A6">
        <w:t xml:space="preserve"> active participants Where they can </w:t>
      </w:r>
      <w:r w:rsidR="00C44F82">
        <w:t>experience</w:t>
      </w:r>
      <w:r w:rsidR="008A47A6" w:rsidRPr="008A47A6">
        <w:t xml:space="preserve"> products and </w:t>
      </w:r>
      <w:r w:rsidR="007E3228">
        <w:t>environments</w:t>
      </w:r>
      <w:r w:rsidR="008A47A6" w:rsidRPr="008A47A6">
        <w:t xml:space="preserve"> from the comfort of their homes. 2017 was considered a significant year for virtual reality destination marketing campaigns from brands such as Thomas Cook, New York Times, and Disney.</w:t>
      </w:r>
      <w:sdt>
        <w:sdtPr>
          <w:id w:val="-172729306"/>
          <w:citation/>
        </w:sdtPr>
        <w:sdtContent>
          <w:r w:rsidR="00C44F82">
            <w:fldChar w:fldCharType="begin"/>
          </w:r>
          <w:r w:rsidR="00C44F82">
            <w:instrText xml:space="preserve"> CITATION mbr17 \l 2057 </w:instrText>
          </w:r>
          <w:r w:rsidR="00C44F82">
            <w:fldChar w:fldCharType="separate"/>
          </w:r>
          <w:r w:rsidR="00403C24">
            <w:rPr>
              <w:noProof/>
            </w:rPr>
            <w:t xml:space="preserve"> </w:t>
          </w:r>
          <w:r w:rsidR="00403C24" w:rsidRPr="00403C24">
            <w:rPr>
              <w:noProof/>
            </w:rPr>
            <w:t>(mbryonic, 2017)</w:t>
          </w:r>
          <w:r w:rsidR="00C44F82">
            <w:fldChar w:fldCharType="end"/>
          </w:r>
        </w:sdtContent>
      </w:sdt>
      <w:r w:rsidR="008A47A6" w:rsidRPr="008A47A6">
        <w:t xml:space="preserve"> This has been made possible through significant breakthroughs</w:t>
      </w:r>
      <w:r w:rsidR="008A47A6">
        <w:t xml:space="preserve"> </w:t>
      </w:r>
      <w:r w:rsidR="008A47A6" w:rsidRPr="008A47A6">
        <w:t>in mobile digital technology and high-resolution screens. Ideally, a virtual environment provides a substitution to the real</w:t>
      </w:r>
      <w:r w:rsidR="008A47A6">
        <w:t>-</w:t>
      </w:r>
      <w:r w:rsidR="008A47A6" w:rsidRPr="008A47A6">
        <w:t xml:space="preserve">world environment by enabling users to </w:t>
      </w:r>
      <w:r w:rsidR="008A47A6">
        <w:t>remove</w:t>
      </w:r>
      <w:r w:rsidR="008A47A6" w:rsidRPr="008A47A6">
        <w:t xml:space="preserve"> physical word stimuli and fully immerse themselves in a virtual world.</w:t>
      </w:r>
      <w:sdt>
        <w:sdtPr>
          <w:id w:val="-878014298"/>
          <w:citation/>
        </w:sdtPr>
        <w:sdtContent>
          <w:r w:rsidR="00C44F82">
            <w:fldChar w:fldCharType="begin"/>
          </w:r>
          <w:r w:rsidR="00C44F82">
            <w:instrText xml:space="preserve"> CITATION BGW98 \l 2057 </w:instrText>
          </w:r>
          <w:r w:rsidR="00C44F82">
            <w:fldChar w:fldCharType="separate"/>
          </w:r>
          <w:r w:rsidR="00403C24">
            <w:rPr>
              <w:noProof/>
            </w:rPr>
            <w:t xml:space="preserve"> </w:t>
          </w:r>
          <w:r w:rsidR="00403C24" w:rsidRPr="00403C24">
            <w:rPr>
              <w:noProof/>
            </w:rPr>
            <w:t>(B.G Witmer, 1998)</w:t>
          </w:r>
          <w:r w:rsidR="00C44F82">
            <w:fldChar w:fldCharType="end"/>
          </w:r>
        </w:sdtContent>
      </w:sdt>
    </w:p>
    <w:p w14:paraId="782FB18A" w14:textId="77777777" w:rsidR="00922AA1" w:rsidRDefault="007E3228" w:rsidP="0008311D">
      <w:pPr>
        <w:spacing w:line="360" w:lineRule="auto"/>
      </w:pPr>
      <w:r w:rsidRPr="007E3228">
        <w:t xml:space="preserve">However, there are much wider applications of the use of visualisation technology: in this </w:t>
      </w:r>
      <w:proofErr w:type="gramStart"/>
      <w:r w:rsidRPr="007E3228">
        <w:t>particular case</w:t>
      </w:r>
      <w:proofErr w:type="gramEnd"/>
      <w:r w:rsidRPr="007E3228">
        <w:t xml:space="preserve">, the use of digital technology to aid </w:t>
      </w:r>
      <w:r w:rsidR="00922AA1">
        <w:t>visualisation</w:t>
      </w:r>
      <w:r w:rsidRPr="007E3228">
        <w:t xml:space="preserve"> of archaeological findings and environments.</w:t>
      </w:r>
      <w:r w:rsidR="00EF222D">
        <w:br/>
      </w:r>
    </w:p>
    <w:p w14:paraId="3E16AEEC" w14:textId="5255FBA2" w:rsidR="0008311D" w:rsidRDefault="001D2F84" w:rsidP="0008311D">
      <w:pPr>
        <w:spacing w:line="360" w:lineRule="auto"/>
      </w:pPr>
      <w:r w:rsidRPr="001D2F84">
        <w:t>Archaeology has always been a visual science.</w:t>
      </w:r>
      <w:r>
        <w:t xml:space="preserve"> </w:t>
      </w:r>
      <w:r w:rsidRPr="001D2F84">
        <w:t>Visual observations</w:t>
      </w:r>
      <w:r w:rsidR="007A6B1C">
        <w:t xml:space="preserve"> of</w:t>
      </w:r>
      <w:r w:rsidRPr="001D2F84">
        <w:t xml:space="preserve"> shape, style, size</w:t>
      </w:r>
      <w:r w:rsidR="007A6B1C">
        <w:t xml:space="preserve">, helping </w:t>
      </w:r>
      <w:r w:rsidRPr="001D2F84">
        <w:t xml:space="preserve">form preliminary classifications allowing archaeologist to organise, interpret and reconstruct complex narratives out of the past and communicate to </w:t>
      </w:r>
      <w:r w:rsidR="007A6B1C">
        <w:t xml:space="preserve">the </w:t>
      </w:r>
      <w:r w:rsidRPr="001D2F84">
        <w:t>present day.</w:t>
      </w:r>
      <w:r>
        <w:t xml:space="preserve"> </w:t>
      </w:r>
    </w:p>
    <w:p w14:paraId="45D22CAE" w14:textId="062628EE" w:rsidR="00FA6454" w:rsidRDefault="001D2F84" w:rsidP="00187EA8">
      <w:pPr>
        <w:pStyle w:val="HarvardQuote"/>
      </w:pPr>
      <w:r>
        <w:lastRenderedPageBreak/>
        <w:br/>
      </w:r>
      <w:r w:rsidRPr="0008311D">
        <w:t>“…</w:t>
      </w:r>
      <w:r w:rsidRPr="0008311D">
        <w:t>Simply put, this act of visual translation, moving from the things that archaeologists find to reconstructing a narrative of past human behaviour, is as much a creative act as a scientific one. Archaeology’s very foundations are built upon visual elements.</w:t>
      </w:r>
      <w:r w:rsidRPr="0008311D">
        <w:t>”</w:t>
      </w:r>
      <w:r w:rsidRPr="0008311D">
        <w:br/>
      </w:r>
      <w:sdt>
        <w:sdtPr>
          <w:id w:val="-1325115255"/>
          <w:citation/>
        </w:sdtPr>
        <w:sdtContent>
          <w:r w:rsidRPr="0008311D">
            <w:fldChar w:fldCharType="begin"/>
          </w:r>
          <w:r w:rsidRPr="0008311D">
            <w:instrText xml:space="preserve"> CITATION Loe21 \l 2057 </w:instrText>
          </w:r>
          <w:r w:rsidRPr="0008311D">
            <w:fldChar w:fldCharType="separate"/>
          </w:r>
          <w:r w:rsidR="00403C24" w:rsidRPr="00403C24">
            <w:rPr>
              <w:noProof/>
            </w:rPr>
            <w:t>(Opgenhaffen, 2021)</w:t>
          </w:r>
          <w:r w:rsidRPr="0008311D">
            <w:fldChar w:fldCharType="end"/>
          </w:r>
        </w:sdtContent>
      </w:sdt>
    </w:p>
    <w:p w14:paraId="391FBC04" w14:textId="60F4CADE" w:rsidR="0008311D" w:rsidRPr="0008311D" w:rsidRDefault="00370A82" w:rsidP="0008311D">
      <w:pPr>
        <w:spacing w:line="360" w:lineRule="auto"/>
      </w:pPr>
      <w:r w:rsidRPr="00370A82">
        <w:t xml:space="preserve">However, it is important to note that the term </w:t>
      </w:r>
      <w:r>
        <w:t>‘</w:t>
      </w:r>
      <w:r w:rsidRPr="00370A82">
        <w:t>visualisation</w:t>
      </w:r>
      <w:r>
        <w:t>’</w:t>
      </w:r>
      <w:r w:rsidRPr="00370A82">
        <w:t xml:space="preserve"> is different from </w:t>
      </w:r>
      <w:r>
        <w:t>‘</w:t>
      </w:r>
      <w:r w:rsidRPr="00370A82">
        <w:t>representation</w:t>
      </w:r>
      <w:r>
        <w:t>’</w:t>
      </w:r>
      <w:r w:rsidRPr="00370A82">
        <w:t xml:space="preserve">. Representation </w:t>
      </w:r>
      <w:r>
        <w:t>is</w:t>
      </w:r>
      <w:r w:rsidRPr="00370A82">
        <w:t xml:space="preserve"> often static</w:t>
      </w:r>
      <w:r>
        <w:t xml:space="preserve"> and </w:t>
      </w:r>
      <w:r w:rsidRPr="00370A82">
        <w:t xml:space="preserve">implies a certain level of objectivity as the visual output should represent the object as it was </w:t>
      </w:r>
      <w:proofErr w:type="gramStart"/>
      <w:r w:rsidRPr="00370A82">
        <w:t>it</w:t>
      </w:r>
      <w:proofErr w:type="gramEnd"/>
      <w:r w:rsidRPr="00370A82">
        <w:t xml:space="preserve"> specific moment in time. </w:t>
      </w:r>
      <w:r>
        <w:br/>
      </w:r>
      <w:r w:rsidRPr="00370A82">
        <w:t>Visualisation is far more active because it functions as both the product and the practi</w:t>
      </w:r>
      <w:r>
        <w:t>ce</w:t>
      </w:r>
      <w:r w:rsidRPr="00370A82">
        <w:t>. For example</w:t>
      </w:r>
      <w:r>
        <w:t>,</w:t>
      </w:r>
      <w:r w:rsidRPr="00370A82">
        <w:t xml:space="preserve"> a 3D scan of original art</w:t>
      </w:r>
      <w:r>
        <w:t>i</w:t>
      </w:r>
      <w:r w:rsidRPr="00370A82">
        <w:t>fact is different from the original when it is translated and by the creative practi</w:t>
      </w:r>
      <w:r>
        <w:t>c</w:t>
      </w:r>
      <w:r w:rsidRPr="00370A82">
        <w:t>e</w:t>
      </w:r>
      <w:r>
        <w:t xml:space="preserve"> of</w:t>
      </w:r>
      <w:r w:rsidRPr="00370A82">
        <w:t xml:space="preserve"> the archaeologist becomes an original virtual artefact in and of itself.</w:t>
      </w:r>
    </w:p>
    <w:p w14:paraId="7680CCEF" w14:textId="41F30D1A" w:rsidR="00D908FF" w:rsidRPr="00D908FF" w:rsidRDefault="00370A82" w:rsidP="0008311D">
      <w:pPr>
        <w:spacing w:line="360" w:lineRule="auto"/>
      </w:pPr>
      <w:r w:rsidRPr="00370A82">
        <w:t>Visualisation</w:t>
      </w:r>
      <w:r>
        <w:t xml:space="preserve"> in</w:t>
      </w:r>
      <w:r w:rsidRPr="00370A82">
        <w:t xml:space="preserve"> </w:t>
      </w:r>
      <w:r w:rsidR="00197C81" w:rsidRPr="00370A82">
        <w:t>archa</w:t>
      </w:r>
      <w:r w:rsidR="00197C81">
        <w:t>e</w:t>
      </w:r>
      <w:r w:rsidR="00197C81" w:rsidRPr="00370A82">
        <w:t>ology</w:t>
      </w:r>
      <w:r w:rsidRPr="00370A82">
        <w:t xml:space="preserve"> </w:t>
      </w:r>
      <w:r>
        <w:t>is</w:t>
      </w:r>
      <w:r w:rsidRPr="00370A82">
        <w:t xml:space="preserve"> primarily a 2D medium, and even now it is considered normal practi</w:t>
      </w:r>
      <w:r>
        <w:t>c</w:t>
      </w:r>
      <w:r w:rsidRPr="00370A82">
        <w:t>e to hand</w:t>
      </w:r>
      <w:r>
        <w:t>-</w:t>
      </w:r>
      <w:r w:rsidRPr="00370A82">
        <w:t>draw</w:t>
      </w:r>
      <w:r>
        <w:t xml:space="preserve"> excavations</w:t>
      </w:r>
      <w:r w:rsidRPr="00370A82">
        <w:t xml:space="preserve"> using a grid system</w:t>
      </w:r>
      <w:r>
        <w:t xml:space="preserve">; using </w:t>
      </w:r>
      <w:r w:rsidRPr="00370A82">
        <w:t xml:space="preserve">conventional pencil and paper to </w:t>
      </w:r>
      <w:r>
        <w:t xml:space="preserve">record finds </w:t>
      </w:r>
      <w:r w:rsidRPr="00370A82">
        <w:t>the archaeologist is uncovering.</w:t>
      </w:r>
      <w:r>
        <w:t xml:space="preserve"> </w:t>
      </w:r>
      <w:r w:rsidRPr="00370A82">
        <w:t>This does not mean that 3</w:t>
      </w:r>
      <w:r>
        <w:t xml:space="preserve">D </w:t>
      </w:r>
      <w:r w:rsidRPr="00370A82">
        <w:t xml:space="preserve">visualisation is not being used; the move towards utilising geophysics who typically use Doppler </w:t>
      </w:r>
      <w:r w:rsidR="00083DA4">
        <w:t>R</w:t>
      </w:r>
      <w:r w:rsidRPr="00370A82">
        <w:t xml:space="preserve">adar, </w:t>
      </w:r>
      <w:r w:rsidR="00083DA4">
        <w:t>M</w:t>
      </w:r>
      <w:r w:rsidRPr="00370A82">
        <w:t>agnet</w:t>
      </w:r>
      <w:r>
        <w:t xml:space="preserve">ometry, </w:t>
      </w:r>
      <w:r w:rsidR="00083DA4">
        <w:t>R</w:t>
      </w:r>
      <w:r w:rsidRPr="00370A82">
        <w:t>es</w:t>
      </w:r>
      <w:r>
        <w:t>is</w:t>
      </w:r>
      <w:r w:rsidRPr="00370A82">
        <w:t xml:space="preserve">tivity and more recently </w:t>
      </w:r>
      <w:r w:rsidR="00083DA4">
        <w:t>L</w:t>
      </w:r>
      <w:r w:rsidRPr="00370A82">
        <w:t>idar</w:t>
      </w:r>
      <w:r>
        <w:t xml:space="preserve">, </w:t>
      </w:r>
      <w:r w:rsidR="00403C24">
        <w:t>m</w:t>
      </w:r>
      <w:r w:rsidRPr="00370A82">
        <w:t>eans that it is often impractical to rely on a 2D visual source.</w:t>
      </w:r>
      <w:r w:rsidR="00403C24">
        <w:t xml:space="preserve"> </w:t>
      </w:r>
      <w:r w:rsidR="00403C24" w:rsidRPr="00403C24">
        <w:rPr>
          <w:noProof/>
        </w:rPr>
        <w:t>Morgan</w:t>
      </w:r>
      <w:r w:rsidR="00403C24">
        <w:rPr>
          <w:noProof/>
        </w:rPr>
        <w:t xml:space="preserve"> &amp; Wright (</w:t>
      </w:r>
      <w:r w:rsidR="00403C24" w:rsidRPr="00403C24">
        <w:rPr>
          <w:noProof/>
        </w:rPr>
        <w:t>2018)</w:t>
      </w:r>
      <w:r w:rsidR="00403C24">
        <w:rPr>
          <w:noProof/>
        </w:rPr>
        <w:t xml:space="preserve"> note </w:t>
      </w:r>
      <w:r w:rsidR="00403C24" w:rsidRPr="00403C24">
        <w:rPr>
          <w:noProof/>
        </w:rPr>
        <w:t>that the use of conventional media is still highly prevalent in the United Kingdom</w:t>
      </w:r>
      <w:r w:rsidR="00403C24">
        <w:rPr>
          <w:noProof/>
        </w:rPr>
        <w:t xml:space="preserve">’s </w:t>
      </w:r>
      <w:r w:rsidR="00403C24" w:rsidRPr="00403C24">
        <w:rPr>
          <w:noProof/>
        </w:rPr>
        <w:t>archaeological recordings despite the continued influx of digital recording methodology.</w:t>
      </w:r>
      <w:r w:rsidR="00ED2602">
        <w:rPr>
          <w:noProof/>
        </w:rPr>
        <w:t xml:space="preserve"> </w:t>
      </w:r>
      <w:r w:rsidR="00ED2602" w:rsidRPr="00ED2602">
        <w:rPr>
          <w:noProof/>
        </w:rPr>
        <w:t>They are surprisingly critical of what they consider to be a shift of methodology without consideration, taking exception to advocates of digital recording such</w:t>
      </w:r>
      <w:r w:rsidR="00ED2602">
        <w:rPr>
          <w:noProof/>
        </w:rPr>
        <w:t xml:space="preserve"> </w:t>
      </w:r>
      <w:r w:rsidR="00ED2602" w:rsidRPr="00ED2602">
        <w:rPr>
          <w:noProof/>
        </w:rPr>
        <w:t>as Bergen, Ellis et ceter</w:t>
      </w:r>
      <w:r w:rsidR="00ED2602">
        <w:rPr>
          <w:noProof/>
        </w:rPr>
        <w:t xml:space="preserve">a, </w:t>
      </w:r>
      <w:r w:rsidR="00ED2602" w:rsidRPr="00ED2602">
        <w:rPr>
          <w:noProof/>
        </w:rPr>
        <w:t>feeling that the person</w:t>
      </w:r>
      <w:r w:rsidR="00ED2602">
        <w:rPr>
          <w:noProof/>
        </w:rPr>
        <w:t>al</w:t>
      </w:r>
      <w:r w:rsidR="00ED2602" w:rsidRPr="00ED2602">
        <w:rPr>
          <w:noProof/>
        </w:rPr>
        <w:t xml:space="preserve"> aspects of physical recording still have a use and a place in the archaeological</w:t>
      </w:r>
      <w:r w:rsidR="00ED2602">
        <w:rPr>
          <w:noProof/>
        </w:rPr>
        <w:t xml:space="preserve"> </w:t>
      </w:r>
      <w:r w:rsidR="00ED2602" w:rsidRPr="00ED2602">
        <w:rPr>
          <w:noProof/>
        </w:rPr>
        <w:t>record</w:t>
      </w:r>
      <w:r w:rsidR="00ED2602">
        <w:rPr>
          <w:noProof/>
        </w:rPr>
        <w:t>.</w:t>
      </w:r>
      <w:r w:rsidR="00ED2602">
        <w:rPr>
          <w:noProof/>
        </w:rPr>
        <w:br/>
      </w:r>
      <w:r w:rsidR="00D908FF" w:rsidRPr="00D908FF">
        <w:t xml:space="preserve"> It is ironic that despite archaeology's r</w:t>
      </w:r>
      <w:r w:rsidR="00D908FF">
        <w:t>e</w:t>
      </w:r>
      <w:r w:rsidR="00D908FF" w:rsidRPr="00D908FF">
        <w:t>liance</w:t>
      </w:r>
      <w:r w:rsidR="00D908FF">
        <w:t xml:space="preserve"> </w:t>
      </w:r>
      <w:r w:rsidR="00D908FF" w:rsidRPr="00D908FF">
        <w:t>on artistic skill</w:t>
      </w:r>
      <w:r w:rsidR="00D908FF">
        <w:t xml:space="preserve"> </w:t>
      </w:r>
      <w:r w:rsidR="00D908FF" w:rsidRPr="00D908FF">
        <w:t>and illustration not a single word is dedicated to the role of visualisation practi</w:t>
      </w:r>
      <w:r w:rsidR="002F458E">
        <w:t>c</w:t>
      </w:r>
      <w:r w:rsidR="00D908FF" w:rsidRPr="00D908FF">
        <w:t>e in archaeology.</w:t>
      </w:r>
      <w:r w:rsidR="00197C81">
        <w:t xml:space="preserve"> </w:t>
      </w:r>
      <w:r w:rsidR="00197C81" w:rsidRPr="00197C81">
        <w:t xml:space="preserve">Along with </w:t>
      </w:r>
      <w:proofErr w:type="spellStart"/>
      <w:r w:rsidR="00197C81">
        <w:t>Opgenhaffen</w:t>
      </w:r>
      <w:proofErr w:type="spellEnd"/>
      <w:r w:rsidR="00197C81">
        <w:t>, t</w:t>
      </w:r>
      <w:r w:rsidR="00197C81" w:rsidRPr="00197C81">
        <w:t>his journal provides an important contextual link t</w:t>
      </w:r>
      <w:r w:rsidR="00197C81">
        <w:t>o</w:t>
      </w:r>
      <w:r w:rsidR="00197C81" w:rsidRPr="00197C81">
        <w:t xml:space="preserve"> the technical and artistic skills still required in archaeology.</w:t>
      </w:r>
    </w:p>
    <w:p w14:paraId="0CE2E174" w14:textId="59CE2ECB" w:rsidR="00D908FF" w:rsidRPr="00D908FF" w:rsidRDefault="002F458E" w:rsidP="0008311D">
      <w:pPr>
        <w:spacing w:line="360" w:lineRule="auto"/>
      </w:pPr>
      <w:r w:rsidRPr="002F458E">
        <w:rPr>
          <w:noProof/>
        </w:rPr>
        <w:t>Opgenhaffen</w:t>
      </w:r>
      <w:r>
        <w:rPr>
          <w:noProof/>
        </w:rPr>
        <w:t>’s</w:t>
      </w:r>
      <w:r w:rsidRPr="002F458E">
        <w:rPr>
          <w:noProof/>
        </w:rPr>
        <w:t xml:space="preserve"> </w:t>
      </w:r>
      <w:r>
        <w:rPr>
          <w:noProof/>
        </w:rPr>
        <w:t>(</w:t>
      </w:r>
      <w:r w:rsidRPr="002F458E">
        <w:rPr>
          <w:noProof/>
        </w:rPr>
        <w:t>2021)</w:t>
      </w:r>
      <w:r>
        <w:rPr>
          <w:noProof/>
        </w:rPr>
        <w:t xml:space="preserve"> a</w:t>
      </w:r>
      <w:r w:rsidRPr="002F458E">
        <w:rPr>
          <w:noProof/>
        </w:rPr>
        <w:t>rticle</w:t>
      </w:r>
      <w:r>
        <w:rPr>
          <w:noProof/>
        </w:rPr>
        <w:t>,</w:t>
      </w:r>
      <w:r w:rsidRPr="002F458E">
        <w:rPr>
          <w:i/>
          <w:iCs/>
          <w:noProof/>
        </w:rPr>
        <w:t xml:space="preserve"> Visualising Archaeologists: a Reflexive History of Visualisation Practice in Archaeology</w:t>
      </w:r>
      <w:r>
        <w:rPr>
          <w:noProof/>
        </w:rPr>
        <w:t xml:space="preserve">, </w:t>
      </w:r>
      <w:r w:rsidRPr="002F458E">
        <w:rPr>
          <w:noProof/>
        </w:rPr>
        <w:t xml:space="preserve">takes a snapshot through the history of archaeology, showing the artistic exploration and narrations of the past, emphasising the importance of artistic ability in the antiquarian </w:t>
      </w:r>
      <w:r>
        <w:rPr>
          <w:noProof/>
        </w:rPr>
        <w:t>to “</w:t>
      </w:r>
      <w:r w:rsidRPr="002F458E">
        <w:rPr>
          <w:noProof/>
        </w:rPr>
        <w:t>restore</w:t>
      </w:r>
      <w:r>
        <w:rPr>
          <w:noProof/>
        </w:rPr>
        <w:t xml:space="preserve">” </w:t>
      </w:r>
      <w:r w:rsidRPr="002F458E">
        <w:rPr>
          <w:noProof/>
        </w:rPr>
        <w:t xml:space="preserve">an object to its original form. This is particularly evident where </w:t>
      </w:r>
      <w:r w:rsidR="00197C81">
        <w:rPr>
          <w:noProof/>
        </w:rPr>
        <w:t>R</w:t>
      </w:r>
      <w:r w:rsidRPr="002F458E">
        <w:rPr>
          <w:noProof/>
        </w:rPr>
        <w:t xml:space="preserve">enaissance and </w:t>
      </w:r>
      <w:r w:rsidR="00197C81">
        <w:rPr>
          <w:noProof/>
        </w:rPr>
        <w:t>B</w:t>
      </w:r>
      <w:r w:rsidRPr="002F458E">
        <w:rPr>
          <w:noProof/>
        </w:rPr>
        <w:t>ar</w:t>
      </w:r>
      <w:r>
        <w:rPr>
          <w:noProof/>
        </w:rPr>
        <w:t>oque</w:t>
      </w:r>
      <w:r w:rsidRPr="002F458E">
        <w:rPr>
          <w:noProof/>
        </w:rPr>
        <w:t xml:space="preserve"> statues</w:t>
      </w:r>
      <w:r>
        <w:rPr>
          <w:noProof/>
        </w:rPr>
        <w:t xml:space="preserve"> a</w:t>
      </w:r>
      <w:r w:rsidRPr="002F458E">
        <w:rPr>
          <w:noProof/>
        </w:rPr>
        <w:t>re recorded</w:t>
      </w:r>
      <w:r>
        <w:rPr>
          <w:noProof/>
        </w:rPr>
        <w:t xml:space="preserve">, </w:t>
      </w:r>
      <w:r w:rsidRPr="002F458E">
        <w:rPr>
          <w:noProof/>
        </w:rPr>
        <w:t xml:space="preserve">With </w:t>
      </w:r>
      <w:r>
        <w:rPr>
          <w:noProof/>
        </w:rPr>
        <w:t>Opgenhaffen giving some excellent examples.</w:t>
      </w:r>
      <w:r>
        <w:rPr>
          <w:noProof/>
        </w:rPr>
        <w:br/>
      </w:r>
      <w:r w:rsidRPr="002F458E">
        <w:rPr>
          <w:noProof/>
        </w:rPr>
        <w:t xml:space="preserve"> </w:t>
      </w:r>
      <w:r>
        <w:rPr>
          <w:noProof/>
        </w:rPr>
        <w:t>H</w:t>
      </w:r>
      <w:r w:rsidRPr="002F458E">
        <w:rPr>
          <w:noProof/>
        </w:rPr>
        <w:t>e also emphasise</w:t>
      </w:r>
      <w:r>
        <w:rPr>
          <w:noProof/>
        </w:rPr>
        <w:t>s</w:t>
      </w:r>
      <w:r w:rsidR="00BB7A35">
        <w:rPr>
          <w:noProof/>
        </w:rPr>
        <w:t xml:space="preserve"> </w:t>
      </w:r>
      <w:r w:rsidR="00BB7A35" w:rsidRPr="00BB7A35">
        <w:rPr>
          <w:noProof/>
        </w:rPr>
        <w:t xml:space="preserve">how important it is for artefacts </w:t>
      </w:r>
      <w:r w:rsidR="00BB7A35">
        <w:rPr>
          <w:noProof/>
        </w:rPr>
        <w:t>to be</w:t>
      </w:r>
      <w:r w:rsidR="00BB7A35" w:rsidRPr="00BB7A35">
        <w:rPr>
          <w:noProof/>
        </w:rPr>
        <w:t xml:space="preserve"> manipulated artistically rather than</w:t>
      </w:r>
      <w:r w:rsidR="00BB7A35">
        <w:rPr>
          <w:noProof/>
        </w:rPr>
        <w:t xml:space="preserve"> </w:t>
      </w:r>
      <w:r w:rsidR="00BB7A35" w:rsidRPr="00BB7A35">
        <w:rPr>
          <w:noProof/>
        </w:rPr>
        <w:t xml:space="preserve">naturally in order to give a clear impression as to the shape of the object and how it may have been used. These drawings </w:t>
      </w:r>
      <w:r w:rsidR="00DE6CCE" w:rsidRPr="00DE6CCE">
        <w:rPr>
          <w:noProof/>
        </w:rPr>
        <w:t>became the first</w:t>
      </w:r>
      <w:r w:rsidR="00DE6CCE">
        <w:rPr>
          <w:noProof/>
        </w:rPr>
        <w:t xml:space="preserve"> </w:t>
      </w:r>
      <w:r w:rsidR="00BB7A35" w:rsidRPr="00BB7A35">
        <w:rPr>
          <w:noProof/>
        </w:rPr>
        <w:t>means of assessing how groups of objects were connected, and comparisons and establishing the first classes of artefacts</w:t>
      </w:r>
      <w:r w:rsidR="00BB7A35">
        <w:rPr>
          <w:noProof/>
        </w:rPr>
        <w:t xml:space="preserve"> </w:t>
      </w:r>
      <w:sdt>
        <w:sdtPr>
          <w:rPr>
            <w:noProof/>
          </w:rPr>
          <w:id w:val="-1861813616"/>
          <w:citation/>
        </w:sdtPr>
        <w:sdtContent>
          <w:r w:rsidR="00BB7A35">
            <w:rPr>
              <w:noProof/>
            </w:rPr>
            <w:fldChar w:fldCharType="begin"/>
          </w:r>
          <w:r w:rsidR="00BB7A35">
            <w:rPr>
              <w:noProof/>
            </w:rPr>
            <w:instrText xml:space="preserve"> CITATION Mos09 \l 2057 </w:instrText>
          </w:r>
          <w:r w:rsidR="00BB7A35">
            <w:rPr>
              <w:noProof/>
            </w:rPr>
            <w:fldChar w:fldCharType="separate"/>
          </w:r>
          <w:r w:rsidR="00BB7A35" w:rsidRPr="00BB7A35">
            <w:rPr>
              <w:noProof/>
            </w:rPr>
            <w:t>(Moser, 2009)</w:t>
          </w:r>
          <w:r w:rsidR="00BB7A35">
            <w:rPr>
              <w:noProof/>
            </w:rPr>
            <w:fldChar w:fldCharType="end"/>
          </w:r>
        </w:sdtContent>
      </w:sdt>
    </w:p>
    <w:p w14:paraId="37B350D2" w14:textId="38787758" w:rsidR="0008311D" w:rsidRDefault="00DE6CCE" w:rsidP="0008311D">
      <w:pPr>
        <w:spacing w:line="360" w:lineRule="auto"/>
      </w:pPr>
      <w:r w:rsidRPr="00DE6CCE">
        <w:t>Throughout the 19</w:t>
      </w:r>
      <w:r w:rsidR="007A6B1C">
        <w:t>th</w:t>
      </w:r>
      <w:r w:rsidRPr="00DE6CCE">
        <w:t xml:space="preserve"> century </w:t>
      </w:r>
      <w:r w:rsidR="007A6B1C">
        <w:t xml:space="preserve">it </w:t>
      </w:r>
      <w:r w:rsidRPr="00DE6CCE">
        <w:t>was not in common archaeologists</w:t>
      </w:r>
      <w:r>
        <w:t xml:space="preserve"> </w:t>
      </w:r>
      <w:r w:rsidRPr="00DE6CCE">
        <w:t>to be accompanied by artists</w:t>
      </w:r>
      <w:r>
        <w:t xml:space="preserve">. </w:t>
      </w:r>
      <w:r w:rsidRPr="00DE6CCE">
        <w:t>One such artist was a pain search</w:t>
      </w:r>
      <w:r>
        <w:t xml:space="preserve"> Sir</w:t>
      </w:r>
      <w:r w:rsidRPr="00DE6CCE">
        <w:t xml:space="preserve"> Lawrence </w:t>
      </w:r>
      <w:r>
        <w:t>A</w:t>
      </w:r>
      <w:r w:rsidRPr="00DE6CCE">
        <w:t xml:space="preserve">lma </w:t>
      </w:r>
      <w:proofErr w:type="spellStart"/>
      <w:r>
        <w:t>T</w:t>
      </w:r>
      <w:r w:rsidRPr="00DE6CCE">
        <w:t>adema</w:t>
      </w:r>
      <w:proofErr w:type="spellEnd"/>
      <w:r>
        <w:t xml:space="preserve"> (</w:t>
      </w:r>
      <w:r w:rsidRPr="00DE6CCE">
        <w:t>1836</w:t>
      </w:r>
      <w:r>
        <w:t>-</w:t>
      </w:r>
      <w:r w:rsidRPr="00DE6CCE">
        <w:t>1912</w:t>
      </w:r>
      <w:r w:rsidR="004E3F23">
        <w:t xml:space="preserve">) whose </w:t>
      </w:r>
      <w:r w:rsidRPr="00DE6CCE">
        <w:t xml:space="preserve">extensive experience of </w:t>
      </w:r>
      <w:r w:rsidRPr="00DE6CCE">
        <w:lastRenderedPageBreak/>
        <w:t xml:space="preserve">the ancient world through direct observations during his numerous travels to </w:t>
      </w:r>
      <w:r w:rsidR="004E3F23" w:rsidRPr="00DE6CCE">
        <w:t>Italy</w:t>
      </w:r>
      <w:r w:rsidR="004E3F23">
        <w:t>,</w:t>
      </w:r>
      <w:r w:rsidRPr="00DE6CCE">
        <w:t xml:space="preserve"> particularly Rome and Pompeii. This resulted in highly detailed and historically accurate paintings. Some critics sneered that the artist include</w:t>
      </w:r>
      <w:r w:rsidR="004E3F23">
        <w:t>d</w:t>
      </w:r>
      <w:r w:rsidRPr="00DE6CCE">
        <w:t xml:space="preserve"> so many items in his paintings that they resemble</w:t>
      </w:r>
      <w:r w:rsidR="004E3F23">
        <w:t xml:space="preserve">d a </w:t>
      </w:r>
      <w:r w:rsidRPr="00DE6CCE">
        <w:t>catalogue</w:t>
      </w:r>
      <w:r w:rsidR="004E3F23">
        <w:t>:</w:t>
      </w:r>
      <w:r w:rsidRPr="00DE6CCE">
        <w:t xml:space="preserve"> ironically demonstrating how </w:t>
      </w:r>
      <w:r w:rsidR="004E3F23" w:rsidRPr="00DE6CCE">
        <w:t>well-informed</w:t>
      </w:r>
      <w:r w:rsidRPr="00DE6CCE">
        <w:t xml:space="preserve"> </w:t>
      </w:r>
      <w:r w:rsidR="004E3F23">
        <w:t>A</w:t>
      </w:r>
      <w:r w:rsidRPr="00DE6CCE">
        <w:t xml:space="preserve">lma </w:t>
      </w:r>
      <w:proofErr w:type="spellStart"/>
      <w:r w:rsidR="004E3F23">
        <w:t>T</w:t>
      </w:r>
      <w:r w:rsidR="005203A1">
        <w:t>a</w:t>
      </w:r>
      <w:r w:rsidRPr="00DE6CCE">
        <w:t>d</w:t>
      </w:r>
      <w:r w:rsidR="004E3F23">
        <w:t>e</w:t>
      </w:r>
      <w:r w:rsidRPr="00DE6CCE">
        <w:t>ma</w:t>
      </w:r>
      <w:proofErr w:type="spellEnd"/>
      <w:r w:rsidRPr="00DE6CCE">
        <w:t xml:space="preserve"> was. He included people interacting with objects as he sought to revive everyday life in the classical era. The objects and vessels were cleverly chosen were not mere aesthetic </w:t>
      </w:r>
      <w:proofErr w:type="gramStart"/>
      <w:r w:rsidRPr="00DE6CCE">
        <w:t>decoration</w:t>
      </w:r>
      <w:r w:rsidR="004E3F23">
        <w:t>,</w:t>
      </w:r>
      <w:r w:rsidRPr="00DE6CCE">
        <w:t xml:space="preserve"> but</w:t>
      </w:r>
      <w:proofErr w:type="gramEnd"/>
      <w:r w:rsidRPr="00DE6CCE">
        <w:t xml:space="preserve"> intended to inform about their function and their use.</w:t>
      </w:r>
    </w:p>
    <w:p w14:paraId="04219D78" w14:textId="23941123" w:rsidR="00DE6CCE" w:rsidRDefault="00DE6CCE" w:rsidP="00187EA8">
      <w:pPr>
        <w:pStyle w:val="HarvardQuote"/>
      </w:pPr>
      <w:r>
        <w:t>“</w:t>
      </w:r>
      <w:r w:rsidRPr="00DE6CCE">
        <w:t xml:space="preserve">The accuracy of Alma </w:t>
      </w:r>
      <w:proofErr w:type="spellStart"/>
      <w:r w:rsidRPr="00DE6CCE">
        <w:t>T</w:t>
      </w:r>
      <w:r w:rsidR="005203A1">
        <w:t>a</w:t>
      </w:r>
      <w:r w:rsidRPr="00DE6CCE">
        <w:t>dema’s</w:t>
      </w:r>
      <w:proofErr w:type="spellEnd"/>
      <w:r w:rsidRPr="00DE6CCE">
        <w:t xml:space="preserve"> painting derived from his personal study of the archaeology and architecture, even though it was common at this time for artists to use a professional draughtsman to sketch the building first</w:t>
      </w:r>
      <w:r>
        <w:t>.”</w:t>
      </w:r>
      <w:sdt>
        <w:sdtPr>
          <w:id w:val="-88393993"/>
          <w:citation/>
        </w:sdtPr>
        <w:sdtContent>
          <w:r>
            <w:fldChar w:fldCharType="begin"/>
          </w:r>
          <w:r>
            <w:instrText xml:space="preserve"> CITATION Loe21 \l 2057 </w:instrText>
          </w:r>
          <w:r>
            <w:fldChar w:fldCharType="separate"/>
          </w:r>
          <w:r>
            <w:rPr>
              <w:noProof/>
            </w:rPr>
            <w:t xml:space="preserve"> </w:t>
          </w:r>
          <w:r w:rsidRPr="00DE6CCE">
            <w:rPr>
              <w:noProof/>
            </w:rPr>
            <w:t>(Opgenhaffen, 2021)</w:t>
          </w:r>
          <w:r>
            <w:fldChar w:fldCharType="end"/>
          </w:r>
        </w:sdtContent>
      </w:sdt>
    </w:p>
    <w:p w14:paraId="4A45E45B" w14:textId="77777777" w:rsidR="00BD7AEB" w:rsidRDefault="007A6B1C" w:rsidP="00187EA8">
      <w:pPr>
        <w:spacing w:line="360" w:lineRule="auto"/>
      </w:pPr>
      <w:r w:rsidRPr="007A6B1C">
        <w:t>Section 3 is of particular interest as it discusses the contemporary use of digital visualisation</w:t>
      </w:r>
      <w:r>
        <w:t xml:space="preserve"> </w:t>
      </w:r>
      <w:r w:rsidRPr="007A6B1C">
        <w:t>technology in archaeology</w:t>
      </w:r>
      <w:r>
        <w:t xml:space="preserve">, </w:t>
      </w:r>
      <w:r w:rsidRPr="007A6B1C">
        <w:t xml:space="preserve">an area that this author </w:t>
      </w:r>
      <w:r w:rsidR="00197C81">
        <w:t>is</w:t>
      </w:r>
      <w:r w:rsidRPr="007A6B1C">
        <w:t xml:space="preserve"> deeply interested in.</w:t>
      </w:r>
      <w:r w:rsidR="00197C81">
        <w:t xml:space="preserve"> </w:t>
      </w:r>
      <w:r w:rsidR="00197C81" w:rsidRPr="00197C81">
        <w:t>It explains in detail the impact that digital</w:t>
      </w:r>
      <w:r w:rsidR="00197C81">
        <w:t>ly</w:t>
      </w:r>
      <w:r w:rsidR="00197C81" w:rsidRPr="00197C81">
        <w:t xml:space="preserve"> recorded data in conjunction</w:t>
      </w:r>
      <w:r w:rsidR="00197C81">
        <w:t xml:space="preserve"> </w:t>
      </w:r>
      <w:r w:rsidR="00197C81" w:rsidRPr="00197C81">
        <w:t>with applications such as GIS AutoCAD and Adobe illustrator have had</w:t>
      </w:r>
      <w:r w:rsidR="00197C81">
        <w:t xml:space="preserve"> </w:t>
      </w:r>
      <w:r w:rsidR="00197C81" w:rsidRPr="00197C81">
        <w:t>on visualisation practi</w:t>
      </w:r>
      <w:r w:rsidR="00197C81">
        <w:t>c</w:t>
      </w:r>
      <w:r w:rsidR="00197C81" w:rsidRPr="00197C81">
        <w:t>e.</w:t>
      </w:r>
      <w:r w:rsidR="00197C81">
        <w:t xml:space="preserve"> </w:t>
      </w:r>
      <w:r w:rsidR="00197C81" w:rsidRPr="00197C81">
        <w:t xml:space="preserve">Due to the high precision of digital scanning is encouraged archaeologists to reconstruct in </w:t>
      </w:r>
      <w:r w:rsidR="00C87F84">
        <w:t>3D</w:t>
      </w:r>
      <w:r w:rsidR="00C87F84" w:rsidRPr="00C87F84">
        <w:t xml:space="preserve"> what </w:t>
      </w:r>
      <w:r w:rsidR="00C87F84">
        <w:t xml:space="preserve">the </w:t>
      </w:r>
      <w:r w:rsidR="00C87F84" w:rsidRPr="00C87F84">
        <w:t xml:space="preserve">structures would have looked like </w:t>
      </w:r>
      <w:r w:rsidR="00C87F84">
        <w:t xml:space="preserve">originally. </w:t>
      </w:r>
      <w:r w:rsidR="00C87F84" w:rsidRPr="00C87F84">
        <w:t xml:space="preserve">Harrison </w:t>
      </w:r>
      <w:proofErr w:type="spellStart"/>
      <w:r w:rsidR="00C87F84" w:rsidRPr="00C87F84">
        <w:t>Eiteljorg</w:t>
      </w:r>
      <w:proofErr w:type="spellEnd"/>
      <w:sdt>
        <w:sdtPr>
          <w:id w:val="1387764932"/>
          <w:citation/>
        </w:sdtPr>
        <w:sdtContent>
          <w:r w:rsidR="00C87F84">
            <w:fldChar w:fldCharType="begin"/>
          </w:r>
          <w:r w:rsidR="00C87F84">
            <w:instrText xml:space="preserve"> CITATION Eit96 \l 2057 </w:instrText>
          </w:r>
          <w:r w:rsidR="00C87F84">
            <w:fldChar w:fldCharType="separate"/>
          </w:r>
          <w:r w:rsidR="00C87F84">
            <w:rPr>
              <w:noProof/>
            </w:rPr>
            <w:t xml:space="preserve"> </w:t>
          </w:r>
          <w:r w:rsidR="00C87F84" w:rsidRPr="00C87F84">
            <w:rPr>
              <w:noProof/>
            </w:rPr>
            <w:t>(Eiteljorg, 1996)</w:t>
          </w:r>
          <w:r w:rsidR="00C87F84">
            <w:fldChar w:fldCharType="end"/>
          </w:r>
        </w:sdtContent>
      </w:sdt>
      <w:r w:rsidR="00C87F84">
        <w:t xml:space="preserve"> </w:t>
      </w:r>
      <w:r w:rsidR="00C87F84" w:rsidRPr="00C87F84">
        <w:t xml:space="preserve">was an early adopter of 3D technology, eventually recreating the entrance arch to the Acropolis in Athens. Ironically, there were many distractors who believed that the images were detached from the underlying archaeological </w:t>
      </w:r>
      <w:proofErr w:type="gramStart"/>
      <w:r w:rsidR="00C87F84" w:rsidRPr="00C87F84">
        <w:t>data</w:t>
      </w:r>
      <w:proofErr w:type="gramEnd"/>
      <w:r w:rsidR="00C87F84" w:rsidRPr="00C87F84">
        <w:t xml:space="preserve"> and some</w:t>
      </w:r>
      <w:r w:rsidR="00C87F84">
        <w:t xml:space="preserve"> (Wheatley, 1993) </w:t>
      </w:r>
      <w:r w:rsidR="00C87F84" w:rsidRPr="00C87F84">
        <w:t xml:space="preserve">believe them to be deceiving or misguiding. </w:t>
      </w:r>
      <w:r w:rsidR="00C87F84" w:rsidRPr="00187EA8">
        <w:rPr>
          <w:rStyle w:val="HarvardQuoteChar"/>
        </w:rPr>
        <w:t>“</w:t>
      </w:r>
      <w:r w:rsidR="00C87F84" w:rsidRPr="00187EA8">
        <w:rPr>
          <w:rStyle w:val="HarvardQuoteChar"/>
        </w:rPr>
        <w:t>These accusations have overshadowed the projects that indeed challenged these technically difficult issues by producing scientifically informed and research-based 3D reconstructions</w:t>
      </w:r>
      <w:r w:rsidR="00431DA0" w:rsidRPr="00187EA8">
        <w:rPr>
          <w:rStyle w:val="HarvardQuoteChar"/>
        </w:rPr>
        <w:t>”</w:t>
      </w:r>
      <w:r w:rsidR="00431DA0">
        <w:t xml:space="preserve"> </w:t>
      </w:r>
      <w:sdt>
        <w:sdtPr>
          <w:id w:val="-1866671240"/>
          <w:citation/>
        </w:sdtPr>
        <w:sdtContent>
          <w:r w:rsidR="00431DA0">
            <w:fldChar w:fldCharType="begin"/>
          </w:r>
          <w:r w:rsidR="00431DA0">
            <w:instrText xml:space="preserve"> CITATION Loe21 \l 2057 </w:instrText>
          </w:r>
          <w:r w:rsidR="00431DA0">
            <w:fldChar w:fldCharType="separate"/>
          </w:r>
          <w:r w:rsidR="00431DA0" w:rsidRPr="00431DA0">
            <w:rPr>
              <w:noProof/>
            </w:rPr>
            <w:t>(Opgenhaffen, 2021)</w:t>
          </w:r>
          <w:r w:rsidR="00431DA0">
            <w:fldChar w:fldCharType="end"/>
          </w:r>
        </w:sdtContent>
      </w:sdt>
    </w:p>
    <w:p w14:paraId="670C9D5E" w14:textId="6B0C6ADC" w:rsidR="00187EA8" w:rsidRDefault="00431DA0" w:rsidP="00BD7AEB">
      <w:pPr>
        <w:spacing w:line="240" w:lineRule="auto"/>
        <w:ind w:left="567" w:right="567"/>
      </w:pPr>
      <w:proofErr w:type="spellStart"/>
      <w:r>
        <w:t>Op</w:t>
      </w:r>
      <w:r w:rsidR="00BC1544">
        <w:t>g</w:t>
      </w:r>
      <w:r>
        <w:t>enhaffen</w:t>
      </w:r>
      <w:proofErr w:type="spellEnd"/>
      <w:r>
        <w:t xml:space="preserve"> concludes by saying </w:t>
      </w:r>
      <w:proofErr w:type="gramStart"/>
      <w:r w:rsidRPr="00431DA0">
        <w:t>the both</w:t>
      </w:r>
      <w:proofErr w:type="gramEnd"/>
      <w:r w:rsidRPr="00431DA0">
        <w:t xml:space="preserve"> 2D and 3D</w:t>
      </w:r>
      <w:r w:rsidR="00187EA8">
        <w:t>:</w:t>
      </w:r>
      <w:r w:rsidR="00BD7AEB">
        <w:br/>
      </w:r>
      <w:r w:rsidRPr="00187EA8">
        <w:t>“…</w:t>
      </w:r>
      <w:r w:rsidRPr="00187EA8">
        <w:t>share the same legacy once the techniques that enabled the visualizations are removed, and focus is shifted to the creative practice of the visualizing archaeologist and the role that both the image and the maker plays in the archaeological process of knowledge production.</w:t>
      </w:r>
      <w:r w:rsidRPr="00187EA8">
        <w:t xml:space="preserve"> “(Ibid, 2021)</w:t>
      </w:r>
      <w:r w:rsidRPr="00431DA0">
        <w:t xml:space="preserve"> </w:t>
      </w:r>
    </w:p>
    <w:p w14:paraId="008243C2" w14:textId="271EE38F" w:rsidR="00431DA0" w:rsidRDefault="00810C08" w:rsidP="00187EA8">
      <w:pPr>
        <w:spacing w:line="360" w:lineRule="auto"/>
      </w:pPr>
      <w:r>
        <w:t>H</w:t>
      </w:r>
      <w:r w:rsidR="00431DA0" w:rsidRPr="00431DA0">
        <w:t>e finally notes that the current 3D visualisations are striking, yet archaeologists using digital technology have only recently started to change the way that they create archaeological knowledge. He feels that ultimately a balanced combination of computational thinking, technology, and existing practises will result in a more creative visualisation practi</w:t>
      </w:r>
      <w:r>
        <w:t>c</w:t>
      </w:r>
      <w:r w:rsidR="00431DA0" w:rsidRPr="00431DA0">
        <w:t>e that produces new and different knowledge about the past.</w:t>
      </w:r>
    </w:p>
    <w:sectPr w:rsidR="00431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49"/>
    <w:rsid w:val="0008311D"/>
    <w:rsid w:val="00083DA4"/>
    <w:rsid w:val="00187EA8"/>
    <w:rsid w:val="00197C81"/>
    <w:rsid w:val="001B2E51"/>
    <w:rsid w:val="001D2F84"/>
    <w:rsid w:val="002F458E"/>
    <w:rsid w:val="00370A82"/>
    <w:rsid w:val="00390E6C"/>
    <w:rsid w:val="00403C24"/>
    <w:rsid w:val="00431DA0"/>
    <w:rsid w:val="004E3F23"/>
    <w:rsid w:val="005203A1"/>
    <w:rsid w:val="007A6B1C"/>
    <w:rsid w:val="007C467F"/>
    <w:rsid w:val="007E3228"/>
    <w:rsid w:val="00810C08"/>
    <w:rsid w:val="008A47A6"/>
    <w:rsid w:val="008E05DD"/>
    <w:rsid w:val="00922AA1"/>
    <w:rsid w:val="00A9137F"/>
    <w:rsid w:val="00B16749"/>
    <w:rsid w:val="00B20D1A"/>
    <w:rsid w:val="00BB7A35"/>
    <w:rsid w:val="00BC1544"/>
    <w:rsid w:val="00BD7AEB"/>
    <w:rsid w:val="00C44F82"/>
    <w:rsid w:val="00C87F84"/>
    <w:rsid w:val="00D908FF"/>
    <w:rsid w:val="00DE6CCE"/>
    <w:rsid w:val="00ED2602"/>
    <w:rsid w:val="00EF222D"/>
    <w:rsid w:val="00FA6454"/>
    <w:rsid w:val="00FB7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5C66"/>
  <w15:chartTrackingRefBased/>
  <w15:docId w15:val="{0A54FD44-EAA7-495C-BE49-6C72C9D8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74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187E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7EA8"/>
    <w:rPr>
      <w:i/>
      <w:iCs/>
      <w:color w:val="404040" w:themeColor="text1" w:themeTint="BF"/>
    </w:rPr>
  </w:style>
  <w:style w:type="paragraph" w:customStyle="1" w:styleId="HarvardQuote">
    <w:name w:val="Harvard Quote"/>
    <w:basedOn w:val="Normal"/>
    <w:link w:val="HarvardQuoteChar"/>
    <w:qFormat/>
    <w:rsid w:val="00187EA8"/>
    <w:pPr>
      <w:spacing w:line="240" w:lineRule="auto"/>
      <w:ind w:left="567" w:right="567"/>
      <w:mirrorIndents/>
    </w:pPr>
  </w:style>
  <w:style w:type="character" w:customStyle="1" w:styleId="HarvardQuoteChar">
    <w:name w:val="Harvard Quote Char"/>
    <w:basedOn w:val="DefaultParagraphFont"/>
    <w:link w:val="HarvardQuote"/>
    <w:rsid w:val="00187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4566">
      <w:bodyDiv w:val="1"/>
      <w:marLeft w:val="0"/>
      <w:marRight w:val="0"/>
      <w:marTop w:val="0"/>
      <w:marBottom w:val="0"/>
      <w:divBdr>
        <w:top w:val="none" w:sz="0" w:space="0" w:color="auto"/>
        <w:left w:val="none" w:sz="0" w:space="0" w:color="auto"/>
        <w:bottom w:val="none" w:sz="0" w:space="0" w:color="auto"/>
        <w:right w:val="none" w:sz="0" w:space="0" w:color="auto"/>
      </w:divBdr>
    </w:div>
    <w:div w:id="102965314">
      <w:bodyDiv w:val="1"/>
      <w:marLeft w:val="0"/>
      <w:marRight w:val="0"/>
      <w:marTop w:val="0"/>
      <w:marBottom w:val="0"/>
      <w:divBdr>
        <w:top w:val="none" w:sz="0" w:space="0" w:color="auto"/>
        <w:left w:val="none" w:sz="0" w:space="0" w:color="auto"/>
        <w:bottom w:val="none" w:sz="0" w:space="0" w:color="auto"/>
        <w:right w:val="none" w:sz="0" w:space="0" w:color="auto"/>
      </w:divBdr>
    </w:div>
    <w:div w:id="281501749">
      <w:bodyDiv w:val="1"/>
      <w:marLeft w:val="0"/>
      <w:marRight w:val="0"/>
      <w:marTop w:val="0"/>
      <w:marBottom w:val="0"/>
      <w:divBdr>
        <w:top w:val="none" w:sz="0" w:space="0" w:color="auto"/>
        <w:left w:val="none" w:sz="0" w:space="0" w:color="auto"/>
        <w:bottom w:val="none" w:sz="0" w:space="0" w:color="auto"/>
        <w:right w:val="none" w:sz="0" w:space="0" w:color="auto"/>
      </w:divBdr>
    </w:div>
    <w:div w:id="357505410">
      <w:bodyDiv w:val="1"/>
      <w:marLeft w:val="0"/>
      <w:marRight w:val="0"/>
      <w:marTop w:val="0"/>
      <w:marBottom w:val="0"/>
      <w:divBdr>
        <w:top w:val="none" w:sz="0" w:space="0" w:color="auto"/>
        <w:left w:val="none" w:sz="0" w:space="0" w:color="auto"/>
        <w:bottom w:val="none" w:sz="0" w:space="0" w:color="auto"/>
        <w:right w:val="none" w:sz="0" w:space="0" w:color="auto"/>
      </w:divBdr>
    </w:div>
    <w:div w:id="426585432">
      <w:bodyDiv w:val="1"/>
      <w:marLeft w:val="0"/>
      <w:marRight w:val="0"/>
      <w:marTop w:val="0"/>
      <w:marBottom w:val="0"/>
      <w:divBdr>
        <w:top w:val="none" w:sz="0" w:space="0" w:color="auto"/>
        <w:left w:val="none" w:sz="0" w:space="0" w:color="auto"/>
        <w:bottom w:val="none" w:sz="0" w:space="0" w:color="auto"/>
        <w:right w:val="none" w:sz="0" w:space="0" w:color="auto"/>
      </w:divBdr>
    </w:div>
    <w:div w:id="457990707">
      <w:bodyDiv w:val="1"/>
      <w:marLeft w:val="0"/>
      <w:marRight w:val="0"/>
      <w:marTop w:val="0"/>
      <w:marBottom w:val="0"/>
      <w:divBdr>
        <w:top w:val="none" w:sz="0" w:space="0" w:color="auto"/>
        <w:left w:val="none" w:sz="0" w:space="0" w:color="auto"/>
        <w:bottom w:val="none" w:sz="0" w:space="0" w:color="auto"/>
        <w:right w:val="none" w:sz="0" w:space="0" w:color="auto"/>
      </w:divBdr>
    </w:div>
    <w:div w:id="528031823">
      <w:bodyDiv w:val="1"/>
      <w:marLeft w:val="0"/>
      <w:marRight w:val="0"/>
      <w:marTop w:val="0"/>
      <w:marBottom w:val="0"/>
      <w:divBdr>
        <w:top w:val="none" w:sz="0" w:space="0" w:color="auto"/>
        <w:left w:val="none" w:sz="0" w:space="0" w:color="auto"/>
        <w:bottom w:val="none" w:sz="0" w:space="0" w:color="auto"/>
        <w:right w:val="none" w:sz="0" w:space="0" w:color="auto"/>
      </w:divBdr>
    </w:div>
    <w:div w:id="576674744">
      <w:bodyDiv w:val="1"/>
      <w:marLeft w:val="0"/>
      <w:marRight w:val="0"/>
      <w:marTop w:val="0"/>
      <w:marBottom w:val="0"/>
      <w:divBdr>
        <w:top w:val="none" w:sz="0" w:space="0" w:color="auto"/>
        <w:left w:val="none" w:sz="0" w:space="0" w:color="auto"/>
        <w:bottom w:val="none" w:sz="0" w:space="0" w:color="auto"/>
        <w:right w:val="none" w:sz="0" w:space="0" w:color="auto"/>
      </w:divBdr>
    </w:div>
    <w:div w:id="657612431">
      <w:bodyDiv w:val="1"/>
      <w:marLeft w:val="0"/>
      <w:marRight w:val="0"/>
      <w:marTop w:val="0"/>
      <w:marBottom w:val="0"/>
      <w:divBdr>
        <w:top w:val="none" w:sz="0" w:space="0" w:color="auto"/>
        <w:left w:val="none" w:sz="0" w:space="0" w:color="auto"/>
        <w:bottom w:val="none" w:sz="0" w:space="0" w:color="auto"/>
        <w:right w:val="none" w:sz="0" w:space="0" w:color="auto"/>
      </w:divBdr>
    </w:div>
    <w:div w:id="837380495">
      <w:bodyDiv w:val="1"/>
      <w:marLeft w:val="0"/>
      <w:marRight w:val="0"/>
      <w:marTop w:val="0"/>
      <w:marBottom w:val="0"/>
      <w:divBdr>
        <w:top w:val="none" w:sz="0" w:space="0" w:color="auto"/>
        <w:left w:val="none" w:sz="0" w:space="0" w:color="auto"/>
        <w:bottom w:val="none" w:sz="0" w:space="0" w:color="auto"/>
        <w:right w:val="none" w:sz="0" w:space="0" w:color="auto"/>
      </w:divBdr>
    </w:div>
    <w:div w:id="1045370437">
      <w:bodyDiv w:val="1"/>
      <w:marLeft w:val="0"/>
      <w:marRight w:val="0"/>
      <w:marTop w:val="0"/>
      <w:marBottom w:val="0"/>
      <w:divBdr>
        <w:top w:val="none" w:sz="0" w:space="0" w:color="auto"/>
        <w:left w:val="none" w:sz="0" w:space="0" w:color="auto"/>
        <w:bottom w:val="none" w:sz="0" w:space="0" w:color="auto"/>
        <w:right w:val="none" w:sz="0" w:space="0" w:color="auto"/>
      </w:divBdr>
    </w:div>
    <w:div w:id="1064522961">
      <w:bodyDiv w:val="1"/>
      <w:marLeft w:val="0"/>
      <w:marRight w:val="0"/>
      <w:marTop w:val="0"/>
      <w:marBottom w:val="0"/>
      <w:divBdr>
        <w:top w:val="none" w:sz="0" w:space="0" w:color="auto"/>
        <w:left w:val="none" w:sz="0" w:space="0" w:color="auto"/>
        <w:bottom w:val="none" w:sz="0" w:space="0" w:color="auto"/>
        <w:right w:val="none" w:sz="0" w:space="0" w:color="auto"/>
      </w:divBdr>
    </w:div>
    <w:div w:id="1708985566">
      <w:bodyDiv w:val="1"/>
      <w:marLeft w:val="0"/>
      <w:marRight w:val="0"/>
      <w:marTop w:val="0"/>
      <w:marBottom w:val="0"/>
      <w:divBdr>
        <w:top w:val="none" w:sz="0" w:space="0" w:color="auto"/>
        <w:left w:val="none" w:sz="0" w:space="0" w:color="auto"/>
        <w:bottom w:val="none" w:sz="0" w:space="0" w:color="auto"/>
        <w:right w:val="none" w:sz="0" w:space="0" w:color="auto"/>
      </w:divBdr>
    </w:div>
    <w:div w:id="1807353576">
      <w:bodyDiv w:val="1"/>
      <w:marLeft w:val="0"/>
      <w:marRight w:val="0"/>
      <w:marTop w:val="0"/>
      <w:marBottom w:val="0"/>
      <w:divBdr>
        <w:top w:val="none" w:sz="0" w:space="0" w:color="auto"/>
        <w:left w:val="none" w:sz="0" w:space="0" w:color="auto"/>
        <w:bottom w:val="none" w:sz="0" w:space="0" w:color="auto"/>
        <w:right w:val="none" w:sz="0" w:space="0" w:color="auto"/>
      </w:divBdr>
    </w:div>
    <w:div w:id="1854418224">
      <w:bodyDiv w:val="1"/>
      <w:marLeft w:val="0"/>
      <w:marRight w:val="0"/>
      <w:marTop w:val="0"/>
      <w:marBottom w:val="0"/>
      <w:divBdr>
        <w:top w:val="none" w:sz="0" w:space="0" w:color="auto"/>
        <w:left w:val="none" w:sz="0" w:space="0" w:color="auto"/>
        <w:bottom w:val="none" w:sz="0" w:space="0" w:color="auto"/>
        <w:right w:val="none" w:sz="0" w:space="0" w:color="auto"/>
      </w:divBdr>
    </w:div>
    <w:div w:id="2089770651">
      <w:bodyDiv w:val="1"/>
      <w:marLeft w:val="0"/>
      <w:marRight w:val="0"/>
      <w:marTop w:val="0"/>
      <w:marBottom w:val="0"/>
      <w:divBdr>
        <w:top w:val="none" w:sz="0" w:space="0" w:color="auto"/>
        <w:left w:val="none" w:sz="0" w:space="0" w:color="auto"/>
        <w:bottom w:val="none" w:sz="0" w:space="0" w:color="auto"/>
        <w:right w:val="none" w:sz="0" w:space="0" w:color="auto"/>
      </w:divBdr>
    </w:div>
    <w:div w:id="21260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Sae16</b:Tag>
    <b:SourceType>JournalArticle</b:SourceType>
    <b:Guid>{F5F73B2A-AC7B-443C-B978-D180AE30617D}</b:Guid>
    <b:Title>The Role of Information Techology in Creating a Sense of Place</b:Title>
    <b:Year>2016</b:Year>
    <b:Author>
      <b:Author>
        <b:NameList>
          <b:Person>
            <b:Last>Saed Rezaei</b:Last>
            <b:First>Mohammasd</b:First>
            <b:Middle>Sadeq Falahat, Maryam Kalami</b:Middle>
          </b:Person>
        </b:NameList>
      </b:Author>
    </b:Author>
    <b:JournalName>Journal of Engineering and Applied Sciences</b:JournalName>
    <b:Pages>958-963</b:Pages>
    <b:Volume>5</b:Volume>
    <b:Issue>11</b:Issue>
    <b:RefOrder>1</b:RefOrder>
  </b:Source>
  <b:Source>
    <b:Tag>BGW98</b:Tag>
    <b:SourceType>JournalArticle</b:SourceType>
    <b:Guid>{9934D614-16AB-4ECE-A4F6-91AF463DFD85}</b:Guid>
    <b:Author>
      <b:Author>
        <b:NameList>
          <b:Person>
            <b:Last>B.G Witmer</b:Last>
            <b:First>M.J</b:First>
            <b:Middle>Singer</b:Middle>
          </b:Person>
        </b:NameList>
      </b:Author>
    </b:Author>
    <b:Title>Measuring presence in virtual environments: A presence questionnaire</b:Title>
    <b:JournalName>Presence: Teleoperators and Virtual Environments</b:JournalName>
    <b:Year>1998</b:Year>
    <b:Pages>225-240</b:Pages>
    <b:Volume>7</b:Volume>
    <b:Issue>3</b:Issue>
    <b:RefOrder>3</b:RefOrder>
  </b:Source>
  <b:Source>
    <b:Tag>mbr17</b:Tag>
    <b:SourceType>DocumentFromInternetSite</b:SourceType>
    <b:Guid>{2F9A5F70-F252-4ADB-83D8-0CFBA8F3859A}</b:Guid>
    <b:Title>10 Best Uses Of Virtual Reality VR Marketing</b:Title>
    <b:Year>2017</b:Year>
    <b:Author>
      <b:Author>
        <b:Corporate>mbryonic</b:Corporate>
      </b:Author>
    </b:Author>
    <b:YearAccessed>2021</b:YearAccessed>
    <b:MonthAccessed>October</b:MonthAccessed>
    <b:DayAccessed>21</b:DayAccessed>
    <b:URL>http://mbryonic.com/best-vr/</b:URL>
    <b:RefOrder>2</b:RefOrder>
  </b:Source>
  <b:Source>
    <b:Tag>Loe21</b:Tag>
    <b:SourceType>JournalArticle</b:SourceType>
    <b:Guid>{4813E6B9-01D0-469A-B863-662C2A9C8C9F}</b:Guid>
    <b:Title>Visualizing Archaeologists: A Reflexive History of Visualization Practice in Archaeology</b:Title>
    <b:Year>2021</b:Year>
    <b:Author>
      <b:Author>
        <b:NameList>
          <b:Person>
            <b:Last>Opgenhaffen</b:Last>
            <b:First>Loes</b:First>
          </b:Person>
        </b:NameList>
      </b:Author>
    </b:Author>
    <b:JournalName>Open Archeology</b:JournalName>
    <b:Pages>353-377</b:Pages>
    <b:Volume>7</b:Volume>
    <b:Issue>1</b:Issue>
    <b:RefOrder>4</b:RefOrder>
  </b:Source>
  <b:Source>
    <b:Tag>Col18</b:Tag>
    <b:SourceType>JournalArticle</b:SourceType>
    <b:Guid>{6D3F406B-8D32-4DF2-A133-F870D82381D1}</b:Guid>
    <b:Author>
      <b:Author>
        <b:NameList>
          <b:Person>
            <b:Last>Collen Morgan</b:Last>
            <b:First>Holly</b:First>
            <b:Middle>Wright</b:Middle>
          </b:Person>
        </b:NameList>
      </b:Author>
    </b:Author>
    <b:Title>Pencils and Pixels: Drawing and Digital Media in</b:Title>
    <b:JournalName>Journal of Field Archaeology</b:JournalName>
    <b:Year>2018</b:Year>
    <b:Pages>136-151</b:Pages>
    <b:Volume>43</b:Volume>
    <b:Issue>2</b:Issue>
    <b:RefOrder>7</b:RefOrder>
  </b:Source>
  <b:Source>
    <b:Tag>Mos09</b:Tag>
    <b:SourceType>BookSection</b:SourceType>
    <b:Guid>{5E6B8F5D-D79A-46F9-9199-F6F7DDB994D4}</b:Guid>
    <b:Author>
      <b:Author>
        <b:NameList>
          <b:Person>
            <b:Last>Moser</b:Last>
            <b:First>S.</b:First>
          </b:Person>
        </b:NameList>
      </b:Author>
      <b:Editor>
        <b:NameList>
          <b:Person>
            <b:Last>B</b:Last>
            <b:First>Cunliffe</b:First>
          </b:Person>
        </b:NameList>
      </b:Editor>
    </b:Author>
    <b:Title>Archaeological representation: The consumption and creation of the past</b:Title>
    <b:JournalName>The Oxford handbook of archaeology</b:JournalName>
    <b:Year>2009</b:Year>
    <b:Pages>1048-1077</b:Pages>
    <b:BookTitle>The Oxford handbook of Archaeology</b:BookTitle>
    <b:City>Oxford</b:City>
    <b:Publisher>Oxford University press</b:Publisher>
    <b:RefOrder>5</b:RefOrder>
  </b:Source>
  <b:Source>
    <b:Tag>Eit96</b:Tag>
    <b:SourceType>DocumentFromInternetSite</b:SourceType>
    <b:Guid>{FF267996-E037-4951-8C52-911E3C59D619}</b:Guid>
    <b:Title>Computer-assisted drafting and design: New technologies for old problems</b:Title>
    <b:Year>1996</b:Year>
    <b:Author>
      <b:Author>
        <b:NameList>
          <b:Person>
            <b:Last>Eiteljorg</b:Last>
            <b:First>Harrison</b:First>
          </b:Person>
        </b:NameList>
      </b:Author>
    </b:Author>
    <b:YearAccessed>2021</b:YearAccessed>
    <b:MonthAccessed>October</b:MonthAccessed>
    <b:DayAccessed>15</b:DayAccessed>
    <b:URL>http://csanet.org/inftech/cadbklt.htm</b:URL>
    <b:RefOrder>6</b:RefOrder>
  </b:Source>
</b:Sources>
</file>

<file path=customXml/itemProps1.xml><?xml version="1.0" encoding="utf-8"?>
<ds:datastoreItem xmlns:ds="http://schemas.openxmlformats.org/officeDocument/2006/customXml" ds:itemID="{6BDC21D6-1BBA-4C17-A73A-9FB6AF3D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6</cp:revision>
  <dcterms:created xsi:type="dcterms:W3CDTF">2021-10-31T09:36:00Z</dcterms:created>
  <dcterms:modified xsi:type="dcterms:W3CDTF">2021-10-31T15:08:00Z</dcterms:modified>
</cp:coreProperties>
</file>