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11: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</w:t>
      </w:r>
      <w:r>
        <w:t xml:space="preserve"> </w:t>
      </w:r>
      <w:r>
        <w:t xml:space="preserve">Sigma</w:t>
      </w:r>
      <w:r>
        <w:t xml:space="preserve"> </w:t>
      </w:r>
      <w:r>
        <w:t xml:space="preserve">unknown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s</m:t>
                    </m:r>
                    <m:r>
                      <m:rPr>
                        <m:sty m:val="p"/>
                      </m:rP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z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  <m:r>
                      <m:rPr>
                        <m:sty m:val="p"/>
                      </m:rP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  <w:p>
            <w:pPr>
              <w:pStyle w:val="Compact"/>
              <w:jc w:val="left"/>
            </w:pPr>
            <w:r>
              <w:t xml:space="preserve">The primary difference is that a t-score uses the sample standard deviation</w:t>
            </w:r>
            <w:r>
              <w:t xml:space="preserve"> </w:t>
            </w:r>
            <w:r>
              <w:t xml:space="preserve">(</w:t>
            </w:r>
            <m:oMath>
              <m:r>
                <m:t>s</m:t>
              </m:r>
            </m:oMath>
            <w:r>
              <w:t xml:space="preserve">) whereas a z-score uses the population standard deviation (</w:t>
            </w:r>
            <m:oMath>
              <m:r>
                <m:t>σ</m:t>
              </m:r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1.591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74.724 points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(71.979 , 77.47) We are 95% confident that the true mean score for all students</w:t>
            </w:r>
            <w:r>
              <w:t xml:space="preserve"> </w:t>
            </w:r>
            <w:r>
              <w:t xml:space="preserve">who take this exam is between 71.979 and 77.47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(4.257 , 4.571) We are 95% confident that the true mean confidence rating for</w:t>
            </w:r>
            <w:r>
              <w:t xml:space="preserve"> </w:t>
            </w:r>
            <w:r>
              <w:t xml:space="preserve">all students</w:t>
            </w:r>
            <w:r>
              <w:t xml:space="preserve"> </w:t>
            </w:r>
            <w:r>
              <w:t xml:space="preserve">who take this exam is between 4.257 and 4.571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was collected by a simple random sample. (We assume that this is true)</w:t>
            </w:r>
            <w:r>
              <w:br/>
            </w:r>
            <w:r>
              <w:t xml:space="preserve">b.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oMath>
            <w:r>
              <w:t xml:space="preserve"> </w:t>
            </w:r>
            <w:r>
              <w:t xml:space="preserve">is normally distributed. (We can assume the distribution of sample</w:t>
            </w:r>
            <w:r>
              <w:t xml:space="preserve"> </w:t>
            </w:r>
            <w:r>
              <w:t xml:space="preserve">means is normally distributed due to the central limit theorem)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  <m:r>
                <m:t>4.12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&gt;</m:t>
              </m:r>
              <m:r>
                <m:t>4.12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3.693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 = 138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 = 0.00016 &lt; 0.05 =</w:t>
            </w:r>
            <w:r>
              <w:t xml:space="preserve"> </w:t>
            </w: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sufficient evidence to suggest that the confidence rating scores for</w:t>
            </w:r>
            <w:r>
              <w:t xml:space="preserve"> </w:t>
            </w:r>
            <w:r>
              <w:t xml:space="preserve">this year are significantly higher than two years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(2.535 , 3.165) We are 90% confident that the true mean weight of Oreo filling</w:t>
            </w:r>
            <w:r>
              <w:t xml:space="preserve"> </w:t>
            </w:r>
            <w:r>
              <w:t xml:space="preserve">is between 2.535 and 3.165 grams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(5.591 , 5.92) We are 90% confident that the true mean mean weight of DoubleStuf</w:t>
            </w:r>
            <w:r>
              <w:t xml:space="preserve"> </w:t>
            </w:r>
            <w:r>
              <w:t xml:space="preserve">Oreo filling is between 5.591 and 5.92 grams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 is likely. The mean for the double stuf Oreos is a little more than twice as</w:t>
            </w:r>
            <w:r>
              <w:t xml:space="preserve"> </w:t>
            </w:r>
            <w:r>
              <w:t xml:space="preserve">big as the mean for the traditional Oreos. The confidence intervals provide</w:t>
            </w:r>
            <w:r>
              <w:t xml:space="preserve"> </w:t>
            </w:r>
            <w:r>
              <w:t xml:space="preserve">plausible true means for each cookie type. The intervals indicate that there</w:t>
            </w:r>
            <w:r>
              <w:t xml:space="preserve"> </w:t>
            </w:r>
            <w:r>
              <w:t xml:space="preserve">might be a little less than twice the stuffing or a little more than twice the</w:t>
            </w:r>
            <w:r>
              <w:t xml:space="preserve"> </w:t>
            </w:r>
            <w:r>
              <w:t xml:space="preserve">stuffing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11: Inference for One Mean Sigma unknown</dc:title>
  <dc:creator>Homework</dc:creator>
  <cp:keywords/>
  <dcterms:created xsi:type="dcterms:W3CDTF">2023-06-29T17:59:57Z</dcterms:created>
  <dcterms:modified xsi:type="dcterms:W3CDTF">2023-06-29T17:59:57Z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