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CMPG 325 — Computer Networks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Milestone 1 — Client Design Review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Dithare Car Wash &amp; Detailing Group (Potchefstroom)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Project ID</w:t>
            </w:r>
          </w:p>
        </w:tc>
        <w:tc>
          <w:tcPr>
            <w:tcW w:type="dxa" w:w="3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CMPG325-2026-138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 ID</w:t>
            </w:r>
          </w:p>
        </w:tc>
        <w:tc>
          <w:tcPr>
            <w:tcW w:type="dxa" w:w="3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CLI-138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SITHOLE, TJ (51636654)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Industry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Automotive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Assigned Feature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 (inside/outside translation)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Addressing Block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192.168.59.0/24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Client Requirements</w:t>
      </w:r>
    </w:p>
    <w:p>
      <w:pPr>
        <w:spacing w:after="120"/>
      </w:pPr>
      <w:r>
        <w:t xml:space="preserve">Dithare Car Wash &amp; Detailing Group operates a single-site car wash and detailing facility in Potchefstroom. The site requires a network supporting office operations, a CCTV security system, and newly introduced IoT operational equipment (CR12), with appropriate segmentation between the three traffic types.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/ front-of-house — staff PCs and a printer supporting bookings and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(CCTV) — cameras covering the wash bays, yard and reception, recording to a local NVR.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Operations — IoT sensors and a controller monitoring equipment, water usage and bay occupancy (CR12).</w:t>
      </w:r>
    </w:p>
    <w:p>
      <w:pPr>
        <w:pStyle w:val="Heading2"/>
        <w:spacing w:after="120" w:before="240"/>
      </w:pPr>
      <w:r>
        <w:t xml:space="preserve">1.1 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R1 — Office devices must have LAN connectivity and access to the simulated external network.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 — CCTV traffic must be segmented from office data traffic (design constraint).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R3 — IoT sensors in the operations area must be placed on their own isolated segment (CR12).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R4 — Internal private addresses must be translated to an outside address for traffic leaving the network (assigned NAT challenge).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R5 — The network must be built and demonstrated in Cisco Packet Tracer using 192.168.59.0/24.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R6 — The design must be testable end-to-end with appropriate evidence captured.</w:t>
      </w:r>
    </w:p>
    <w:p>
      <w:pPr>
        <w:pStyle w:val="Heading2"/>
        <w:spacing w:after="120" w:before="240"/>
      </w:pPr>
      <w:r>
        <w:t xml:space="preserve">1.2 Design Constraint</w:t>
      </w:r>
    </w:p>
    <w:p>
      <w:pPr>
        <w:spacing w:after="120"/>
      </w:pPr>
      <w:r>
        <w:t xml:space="preserve">CCTV traffic must be segmented from office data traffic. VLAN 20 (CCTV) is a dedicated VLAN and subnet, with no NAT/internet access. Because R1 would otherwise route directly between connected VLANs, an access control list (ACL) is applied on each router subinterface to enforce the required denial of inter-VLAN traffic — VLANs alone provide Layer 2 separation but not Layer 3 enforcement.</w:t>
      </w:r>
    </w:p>
    <w:p>
      <w:pPr>
        <w:pStyle w:val="Heading2"/>
        <w:spacing w:after="120" w:before="240"/>
      </w:pPr>
      <w:r>
        <w:t xml:space="preserve">1.3 Change Request — CR12</w:t>
      </w:r>
    </w:p>
    <w:p>
      <w:pPr>
        <w:spacing w:after="120"/>
      </w:pPr>
      <w:r>
        <w:t xml:space="preserve">IoT sensors added to the operations area need an isolated segment. VLAN 30 (IoT/Operations) is a dedicated VLAN and subnet, separate from Office and CCTV, enforced the same way via ACL120 on its router subinterface, with no external access.</w:t>
      </w:r>
    </w:p>
    <w:p>
      <w:pPr>
        <w:pStyle w:val="Heading2"/>
        <w:spacing w:after="120" w:before="240"/>
      </w:pPr>
      <w:r>
        <w:t xml:space="preserve">1.4 Assigned Networking Challenge — NAT</w:t>
      </w:r>
    </w:p>
    <w:p>
      <w:pPr>
        <w:spacing w:after="120"/>
      </w:pPr>
      <w:r>
        <w:t xml:space="preserve">Edge router R1 is configured with NAT overload (PAT) so Office devices (VLAN 10 only) share R1's outside interface address when reaching the simulated external network. CCTV and IoT/Operations are deliberately excluded from the NAT inside source list, since neither has a business requirement for external access — reinforcing the segmentation constraint and CR12 while satisfying the assigned NAT challenge.</w:t>
      </w:r>
    </w:p>
    <w:p>
      <w:pPr>
        <w:spacing w:after="120"/>
      </w:pPr>
      <w:r>
        <w:t xml:space="preserve">A separate ACL (ACL 10) matches only the Office subnet for NAT translation, kept numerically distinct from the segmentation ACLs (ACL100/110/120) to avoid configuration ambiguity: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access-list 10 permit 192.168.59.0 0.0.0.31
ip nat inside source list 10 interface GigabitEthernet0/0 overload</w:t>
      </w:r>
    </w:p>
    <w:p>
      <w:pPr>
        <w:pStyle w:val="Heading1"/>
        <w:spacing w:after="150" w:before="300"/>
      </w:pPr>
      <w:r>
        <w:t xml:space="preserve">2. Physical Topology</w:t>
      </w:r>
    </w:p>
    <w:p>
      <w:pPr>
        <w:spacing w:after="120"/>
      </w:pPr>
      <w:r>
        <w:t xml:space="preserve">The physical design uses a single on-site comms point: one edge router (R1) and one access switch (SW1), appropriate for a single small automotive site. R1's G0/1 connects to SW1's Gi0/1 as a single 802.1Q trunk carrying VLANs 10, 20 and 30; R1's G0/0 connects to the simulated ISP as the NAT outside boundary. Standardised access-port ranges (Fa0/1–5 Office, Fa0/6–10 CCTV, Fa0/11–15 IoT) keep documentation, troubleshooting and the Packet Tracer build consistent, with several ports per segment reserved for future devices.</w:t>
      </w:r>
    </w:p>
    <w:p>
      <w:pPr>
        <w:spacing w:after="80" w:before="150"/>
        <w:jc w:val="center"/>
      </w:pPr>
      <w:r>
        <w:drawing>
          <wp:inline distT="0" distB="0" distL="0" distR="0">
            <wp:extent cx="5400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 — Physical topology: single router + single access switch</w:t>
      </w:r>
    </w:p>
    <w:p>
      <w:pPr>
        <w:pStyle w:val="Heading2"/>
        <w:spacing w:after="120" w:before="240"/>
      </w:pPr>
      <w:r>
        <w:t xml:space="preserve">2.1 Device List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 (Packet Tracer)</w:t>
            </w:r>
          </w:p>
        </w:tc>
        <w:tc>
          <w:tcPr>
            <w:tcW w:type="dxa" w:w="5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Cisco 2911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 router: router-on-a-stick inter-VLAN routing, NAT/PAT (Office only), ACL enforcement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Cisco 2960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access switch; VLANs 10/20/30; Gi0/1 802.1Q trunk to R1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 (Fa0/1–5)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 ×2, Printer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PC1 .2, PC2 .3, Printer .4 — bookings/administration; Fa0/4–5 reserved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 (Fa0/6–10)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Camera ×2, Server-PT as NVR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Camera1 .34, Camera2 .35, NVR .36 — wash bay/yard/reception coverage; Fa0/9–10 reserved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IoT/Ops (Fa0/11–15)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IoT-PT sensors ×2, IoT server/SBC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Sensor1 .66, Sensor2 .67, IoT Controller .68 — CR12 segment; Fa0/14–15 reserved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ISP router + test host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Cisco 2911 / generic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external network for NAT outside testing</w:t>
            </w:r>
          </w:p>
        </w:tc>
      </w:tr>
    </w:tbl>
    <w:p>
      <w:pPr>
        <w:pStyle w:val="Heading1"/>
        <w:spacing w:after="150" w:before="300"/>
      </w:pPr>
      <w:r>
        <w:t xml:space="preserve">3. Logical Topology</w:t>
      </w:r>
    </w:p>
    <w:p>
      <w:pPr>
        <w:spacing w:after="120"/>
      </w:pPr>
      <w:r>
        <w:t xml:space="preserve">R1 uses router-on-a-stick sub-interfaces (G0/1.10, G0/1.20, G0/1.30) for inter-VLAN routing, with an inbound ACL on each subinterface enforcing segmentation, and NAT/PAT applied only on the Office path. No dynamic routing protocol is required since all internal networks are directly connected to R1.</w:t>
      </w:r>
    </w:p>
    <w:p>
      <w:pPr>
        <w:spacing w:after="80" w:before="150"/>
        <w:jc w:val="center"/>
      </w:pPr>
      <w:r>
        <w:drawing>
          <wp:inline distT="0" distB="0" distL="0" distR="0">
            <wp:extent cx="5400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 — Logical topology: VLANs, subnets, ACLs and NAT/PAT boundary</w:t>
      </w:r>
    </w:p>
    <w:p>
      <w:pPr>
        <w:pStyle w:val="Heading2"/>
        <w:spacing w:after="120" w:before="240"/>
      </w:pPr>
      <w:r>
        <w:t xml:space="preserve">3.1 Traffic Segmentation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→ Internet: ALLOW (via NAT/PAT). Office → CCTV: DENY. Office → IoT/Operations: DENY.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CCTV → Office, IoT/Operations, Internet: DENY. Same-VLAN CCTV traffic: ALLOW (camera ↔ NVR).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IoT/Operations → Office, CCTV, Internet: DENY. Same-VLAN IoT traffic: ALLOW (sensors ↔ controller).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Enforcement: ACL100 inbound on G0/1.10, ACL110 inbound on G0/1.20, ACL120 inbound on G0/1.30 — a source-side control point on every VLAN, not only on CCTV/IoT.</w:t>
      </w:r>
    </w:p>
    <w:p>
      <w:pPr>
        <w:pStyle w:val="Heading1"/>
        <w:spacing w:after="150" w:before="300"/>
      </w:pPr>
      <w:r>
        <w:t xml:space="preserve">4. IP Addressing Plan</w:t>
      </w:r>
    </w:p>
    <w:p>
      <w:pPr>
        <w:spacing w:after="120"/>
      </w:pPr>
      <w:r>
        <w:t xml:space="preserve">The assigned block 192.168.59.0/24 is divided into equal /27 subnets (30 usable hosts each) — sufficient for the representative device set on each segment while keeping the scheme simple to verify, with five /27 blocks left unallocated for future growth (e.g. a management or guest segment) without renumbering the live subnets.</w:t>
      </w:r>
    </w:p>
    <w:p>
      <w:pPr>
        <w:spacing w:after="100"/>
      </w:pP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 / Mask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Usable Range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 Data — PC1, PC2, Printer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192.168.59.0/27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.2 - .30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 — Camera1, Camera2, NVR (segmented, no internet)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192.168.59.32/27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192.168.59.33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.34 - .62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 / Operations — Sensor1, Sensor2, IoT Controller (CR12, isolated)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192.168.59.64/27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192.168.59.65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.66 - .94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Reserved (5 × /27) for future growth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192.168.59.96/27 – .224/27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4.1 WAN / NAT Outside Addressing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3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 G0/0 (outside)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203.0.113.2/30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 outside; documentation prefix TEST-NET-3, outside the assigned /24.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ISP router (G0/0)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203.0.113.1/30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upstream gateway; R1 default route points here.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Default route on R1: ip route 0.0.0.0 0.0.0.0 203.0.113.1. NAT will be verified in Milestone 2 with show ip nat translations and show ip nat statistics — Office traffic should produce translations; CCTV and IoT/Operations traffic should not, since neither is a NAT inside source.</w:t>
      </w:r>
    </w:p>
    <w:p>
      <w:pPr>
        <w:pStyle w:val="Heading1"/>
        <w:spacing w:after="150" w:before="300"/>
      </w:pPr>
      <w:r>
        <w:t xml:space="preserve">5. Initial GitHub Repository</w:t>
      </w:r>
    </w:p>
    <w:p>
      <w:pPr>
        <w:spacing w:after="120"/>
      </w:pPr>
      <w:r>
        <w:t xml:space="preserve">An individual GitHub repository holds the Milestone 1 portfolio of evidence, structured as follows: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 — project overview, design-at-a-glance, milestone table and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01_Client_Requirements/ — requirements, constraints, design decisions and traceability (Markdown).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02_Physical_Topology/ — physical_topology.md, .png and .svg (source).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03_Logical_Topology/ — logical_topology.md, .png and .svg (source).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04_IP_Addressing/ — IP_Addressing_Plan.md, the addressing source of truth.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05_Packet_Tracer/, 06_Configuration/, 07_Testing/ — reserved for Milestone 2 (.pkt file, device configs, test evidence).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08_Screenshots/, 09_Troubleshooting/, 10_Reflection/ — reserved for later milestones and final submission.</w:t>
      </w:r>
    </w:p>
    <w:p>
      <w:pPr>
        <w:spacing w:after="120"/>
      </w:pPr>
      <w:r>
        <w:t xml:space="preserve">Each document carries its own version history (document control table), with Milestone 1 content locked at v2.0 (physical) and v1.5 (logical) after corrections to NAT wording, port allocation and ACL numbering were resolved through iterative commits.</w:t>
      </w:r>
    </w:p>
    <w:p>
      <w:pPr>
        <w:pStyle w:val="Heading1"/>
        <w:spacing w:after="150" w:before="300"/>
      </w:pPr>
      <w:r>
        <w:t xml:space="preserve">6. Design Decisions — Summary Justification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router + one switch: appropriate for a single small automotive site; avoids unnecessary hardware and stays within the brief's scope (no extra VLANs or a management VLAN introduced).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Equal /27 subnetting: simpler to document and troubleshoot than VLSM here, since Office, CCTV and IoT are similar in scale for this simulation, while still leaving five /27s free for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ACL-based segmentation on all three subinterfaces: VLANs alone only provide Layer 2 separation; router-on-a-stick would otherwise route freely between them, so ACL100/110/120 give an explicit, verifiable source-side enforcement point per VLAN.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Office-only NAT/PAT with a dedicated NAT-matching ACL (ACL10), numerically separate from the segmentation ACLs, avoiding configuration ambiguity between address translation and traffic-segmentation policy.</w:t>
      </w:r>
    </w:p>
    <w:p>
      <w:pPr>
        <w:pStyle w:val="Heading1"/>
        <w:spacing w:after="150" w:before="300"/>
      </w:pPr>
      <w:r>
        <w:t xml:space="preserve">7. GitHub Repository Link</w:t>
      </w:r>
    </w:p>
    <w:p>
      <w:pPr>
        <w:spacing w:after="120"/>
      </w:pPr>
      <w:r>
        <w:rPr>
          <w:b/>
          <w:bCs/>
        </w:rPr>
        <w:t xml:space="preserve">https://github.com/Thato-J4/CMPG325-2026-138_Dithare-Network-Design/tree/main/CMPG325-2026-138_SITHOLE-TJ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CMPG325-2026-138 | Milestone 1 — Client Design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d27e6a298695b180db1279df84ccf3018c1bab.png"/><Relationship Id="rId10" Type="http://schemas.openxmlformats.org/officeDocument/2006/relationships/image" Target="media/3174d5420bd8bb441105aa605d07f7344f58af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2026-08-28T18:36:58.570Z</dcterms:created>
  <dcterms:modified xsi:type="dcterms:W3CDTF">2026-08-28T18:36:58.579Z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