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Storage and Management: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 Information: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Contact details (address, phone, email)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Vehicle details (make, model, year, VIN)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history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information (invoices, payment methods, outstanding balances)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Repair Orders: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Date of service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 of repairs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Parts used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Labor hours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Status (open, in progress, completed)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Parts in stock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Prices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Vendor information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Restock levels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Employee Information: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Skills and certifications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Financial Records: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Income (sales, labor)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Expenses (parts, supplies, payroll)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Profit and loss statements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Access and Retrieval: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for customers, vehicles, repairs, parts, and employees by various criteria.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reports on: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Repair orders (by date, customer, vehicle, type of repair)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Inventory levels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Employee productivity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Financial performance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Security and Access Control: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Restrict access to sensitive data based on user roles and permissions.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authentication and authorization procedures.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Protect data confidentiality and integrity.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Intuitive and user-friendly interface, accessible through web-based or desktop application.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navigation and search options.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 displayed in a clear and organized format.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Easy data entry and editing.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Entry and Maintenance: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Add, edit, and delete customer, repair, inventory, employee, and financial records.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Validate data to prevent errors and inconsistencies.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Provide clear error messages and guidance for troubleshooting.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 Analysis and Reporting: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Generate customizable reports on repairs, inventory, employee productivity, and financial performance.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Offer filtering and sorting options.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Provide data visualization tools for better understanding of trends and patterns.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Search and Retrieval: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Search for data using various criteria, including full-text search capabilities.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Display search results in a clear and concise format, highlighting key information.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Allow users to refine searches based on specific criteria.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Training and Support: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Comprehensive training materials and resources for users, covering data entry, search, reporting, and other features.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Online help and support options for troubleshooting and assistance.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