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l5o698hj6hrs" w:id="0"/>
      <w:bookmarkEnd w:id="0"/>
      <w:r w:rsidDel="00000000" w:rsidR="00000000" w:rsidRPr="00000000">
        <w:rPr>
          <w:rtl w:val="0"/>
        </w:rPr>
        <w:t xml:space="preserve">Opportunities in business &amp; efficiency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Lower Overhead Costs: Cloud kitchens operate without the need for a traditional storefront, resulting in lower real estate and operating costs compared to brick-and-mortar restaurants. This cost savings can be reinvested into other aspects of the business, such as marketing or technology.</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6"/>
        </w:numPr>
        <w:ind w:left="1440" w:hanging="360"/>
        <w:rPr>
          <w:u w:val="none"/>
        </w:rPr>
      </w:pPr>
      <w:r w:rsidDel="00000000" w:rsidR="00000000" w:rsidRPr="00000000">
        <w:rPr>
          <w:rtl w:val="0"/>
        </w:rPr>
        <w:t xml:space="preserve">Optimized Menu and Operations: Since cloud kitchens focus solely on delivery and takeout, they can streamline their menu offerings and operations for maximum efficiency. By focusing on a few key items, they can reduce food waste and optimize kitchen processes.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5"/>
        </w:numPr>
        <w:ind w:left="1440" w:hanging="360"/>
        <w:rPr>
          <w:u w:val="none"/>
        </w:rPr>
      </w:pPr>
      <w:r w:rsidDel="00000000" w:rsidR="00000000" w:rsidRPr="00000000">
        <w:rPr>
          <w:rtl w:val="0"/>
        </w:rPr>
        <w:t xml:space="preserve">Data-Driven Decision Making: Cloud kitchens have access to a wealth of data on customer preferences, ordering patterns, and delivery times. By leveraging this data, they can make informed decisions about menu offerings, pricing, and marketing strategies to better meet customer demand and maximize profitability.</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Scalability: Cloud kitchens can easily scale their operations by adding additional virtual brands or expanding into new markets without the need for significant capital investment. This scalability allows them to quickly adapt to changing market conditions and capitalize on new opportunities.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Technology Integration: Cloud kitchens can leverage technology to automate and optimize various aspects of their operations, such as order management, inventory control, and delivery logistics. By integrating technology solutions, they can improve efficiency, reduce errors, and enhance the overall customer experience.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Partnerships and Collaborations: Cloud kitchens can explore partnerships and collaborations with other businesses, such as food delivery platforms, to expand their reach and attract new customers. By partnering with complementary businesses, they can create synergies and unlock new revenue streams.</w:t>
      </w:r>
    </w:p>
    <w:p w:rsidR="00000000" w:rsidDel="00000000" w:rsidP="00000000" w:rsidRDefault="00000000" w:rsidRPr="00000000" w14:paraId="0000000F">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