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40"/>
          <w:szCs w:val="40"/>
        </w:rPr>
        <w:t xml:space="preserve">A COMPARATIVE STUDY</w:t>
      </w:r>
    </w:p>
    <w:p>
      <w:pPr>
        <w:spacing w:after="200" w:before="200"/>
        <w:jc w:val="center"/>
      </w:pPr>
      <w:r>
        <w:rPr>
          <w:b/>
          <w:bCs/>
          <w:color w:val="2E5C99"/>
          <w:sz w:val="34"/>
          <w:szCs w:val="34"/>
        </w:rPr>
        <w:t xml:space="preserve">Low-Code Development vs. Traditional</w:t>
      </w:r>
    </w:p>
    <w:p>
      <w:pPr>
        <w:spacing w:after="800"/>
        <w:jc w:val="center"/>
      </w:pPr>
      <w:r>
        <w:rPr>
          <w:b/>
          <w:bCs/>
          <w:color w:val="2E5C99"/>
          <w:sz w:val="34"/>
          <w:szCs w:val="34"/>
        </w:rPr>
        <w:t xml:space="preserve">Application Development Approaches</w:t>
      </w:r>
    </w:p>
    <w:p>
      <w:pPr>
        <w:pBdr>
          <w:top w:val="single" w:color="C00000" w:sz="12" w:space="10"/>
        </w:pBdr>
        <w:spacing w:before="400"/>
        <w:jc w:val="center"/>
      </w:pPr>
    </w:p>
    <w:p>
      <w:pPr>
        <w:spacing w:before="1600"/>
        <w:jc w:val="center"/>
      </w:pPr>
      <w:r>
        <w:rPr>
          <w:i/>
          <w:iCs/>
          <w:color w:val="595959"/>
          <w:sz w:val="24"/>
          <w:szCs w:val="24"/>
        </w:rPr>
        <w:t xml:space="preserve">An Evaluation of Methodology, Cost, Speed, Flexibility,</w:t>
      </w:r>
    </w:p>
    <w:p>
      <w:pPr>
        <w:spacing w:after="1600"/>
        <w:jc w:val="center"/>
      </w:pPr>
      <w:r>
        <w:rPr>
          <w:i/>
          <w:iCs/>
          <w:color w:val="595959"/>
          <w:sz w:val="24"/>
          <w:szCs w:val="24"/>
        </w:rPr>
        <w:t xml:space="preserve">and Long-Term Strategic Fit for Modern Software Delivery</w:t>
      </w:r>
    </w:p>
    <w:p>
      <w:pPr>
        <w:spacing w:before="2400"/>
        <w:jc w:val="center"/>
      </w:pPr>
      <w:r>
        <w:rPr>
          <w:color w:val="595959"/>
          <w:sz w:val="22"/>
          <w:szCs w:val="22"/>
        </w:rPr>
        <w:t xml:space="preserve">Prepared: July 2026</w:t>
      </w:r>
    </w:p>
    <w:p>
      <w:pPr>
        <w:sectPr>
          <w:footerReference w:type="default" r:id="rId7"/>
          <w:pgSz w:w="12240" w:h="15840" w:orient="portrait"/>
          <w:pgMar w:top="1440" w:right="1440" w:bottom="1440" w:left="1440" w:header="708" w:footer="708" w:gutter="0"/>
          <w:pgNumType/>
          <w:docGrid w:linePitch="360"/>
        </w:sectPr>
      </w:pPr>
    </w:p>
    <w:p>
      <w:pPr>
        <w:pStyle w:val="Heading1"/>
        <w:pBdr>
          <w:bottom w:val="single" w:color="2E5C99" w:sz="8" w:space="4"/>
        </w:pBdr>
        <w:spacing w:after="200" w:before="400"/>
      </w:pPr>
      <w:r>
        <w:rPr>
          <w:b/>
          <w:bCs/>
          <w:color w:val="1F3864"/>
        </w:rPr>
        <w:t xml:space="preserve">Table of Contents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500"/>
        <w:gridCol w:w="1300"/>
      </w:tblGrid>
      <w:tr>
        <w:trPr>
          <w:tblHeader/>
        </w:trPr>
        <w:tc>
          <w:tcPr>
            <w:tcW w:type="dxa" w:w="9500"/>
            <w:shd w:fill="1F3864" w:val="clear"/>
            <w:tcMar>
              <w:top w:type="dxa" w:w="100"/>
              <w:left w:type="dxa" w:w="120"/>
              <w:bottom w:type="dxa" w:w="100"/>
              <w:right w:type="dxa" w:w="120"/>
            </w:tcMar>
            <w:vAlign w:val="center"/>
          </w:tcPr>
          <w:p>
            <w:pPr>
              <w:jc w:val="left"/>
            </w:pPr>
            <w:r>
              <w:rPr>
                <w:b/>
                <w:bCs/>
                <w:color w:val="FFFFFF"/>
                <w:sz w:val="20"/>
                <w:szCs w:val="20"/>
              </w:rPr>
              <w:t xml:space="preserve">Topic</w:t>
            </w:r>
          </w:p>
        </w:tc>
        <w:tc>
          <w:tcPr>
            <w:tcW w:type="dxa" w:w="1300"/>
            <w:shd w:fill="1F3864" w:val="clear"/>
            <w:tcMar>
              <w:top w:type="dxa" w:w="100"/>
              <w:left w:type="dxa" w:w="120"/>
              <w:bottom w:type="dxa" w:w="100"/>
              <w:right w:type="dxa" w:w="120"/>
            </w:tcMar>
            <w:vAlign w:val="center"/>
          </w:tcPr>
          <w:p>
            <w:pPr>
              <w:jc w:val="center"/>
            </w:pPr>
            <w:r>
              <w:rPr>
                <w:b/>
                <w:bCs/>
                <w:color w:val="FFFFFF"/>
                <w:sz w:val="20"/>
                <w:szCs w:val="20"/>
              </w:rPr>
              <w:t xml:space="preserve">Page</w:t>
            </w:r>
          </w:p>
        </w:tc>
      </w:tr>
      <w:tr>
        <w:tc>
          <w:tcPr>
            <w:tcW w:type="dxa" w:w="9500"/>
            <w:tcBorders>
              <w:top w:val="none"/>
              <w:left w:val="none"/>
              <w:bottom w:val="none"/>
              <w:right w:val="none"/>
            </w:tcBorders>
            <w:shd w:fill="F2F2F2" w:val="clear"/>
            <w:tcMar>
              <w:top w:type="dxa" w:w="100"/>
              <w:left w:type="dxa" w:w="120"/>
              <w:bottom w:type="dxa" w:w="100"/>
              <w:right w:type="dxa" w:w="120"/>
            </w:tcMar>
          </w:tcPr>
          <w:p>
            <w:r>
              <w:rPr>
                <w:sz w:val="22"/>
                <w:szCs w:val="22"/>
              </w:rPr>
              <w:t xml:space="preserve">1. Executive Summary</w:t>
            </w:r>
          </w:p>
        </w:tc>
        <w:tc>
          <w:tcPr>
            <w:tcW w:type="dxa" w:w="1300"/>
            <w:tcBorders>
              <w:top w:val="none"/>
              <w:left w:val="none"/>
              <w:bottom w:val="none"/>
              <w:right w:val="none"/>
            </w:tcBorders>
            <w:shd w:fill="F2F2F2" w:val="clear"/>
            <w:tcMar>
              <w:top w:type="dxa" w:w="100"/>
              <w:left w:type="dxa" w:w="120"/>
              <w:bottom w:type="dxa" w:w="100"/>
              <w:right w:type="dxa" w:w="120"/>
            </w:tcMar>
            <w:vAlign w:val="center"/>
          </w:tcPr>
          <w:p>
            <w:pPr>
              <w:jc w:val="center"/>
            </w:pPr>
            <w:r>
              <w:rPr>
                <w:b/>
                <w:bCs/>
                <w:sz w:val="22"/>
                <w:szCs w:val="22"/>
              </w:rPr>
              <w:t xml:space="preserve">3</w:t>
            </w:r>
          </w:p>
        </w:tc>
      </w:tr>
      <w:tr>
        <w:tc>
          <w:tcPr>
            <w:tcW w:type="dxa" w:w="9500"/>
            <w:tcBorders>
              <w:top w:val="none"/>
              <w:left w:val="none"/>
              <w:bottom w:val="none"/>
              <w:right w:val="none"/>
            </w:tcBorders>
            <w:shd w:fill="FFFFFF" w:val="clear"/>
            <w:tcMar>
              <w:top w:type="dxa" w:w="100"/>
              <w:left w:type="dxa" w:w="120"/>
              <w:bottom w:type="dxa" w:w="100"/>
              <w:right w:type="dxa" w:w="120"/>
            </w:tcMar>
          </w:tcPr>
          <w:p>
            <w:r>
              <w:rPr>
                <w:sz w:val="22"/>
                <w:szCs w:val="22"/>
              </w:rPr>
              <w:t xml:space="preserve">2. Introduction</w:t>
            </w:r>
          </w:p>
        </w:tc>
        <w:tc>
          <w:tcPr>
            <w:tcW w:type="dxa" w:w="1300"/>
            <w:tcBorders>
              <w:top w:val="none"/>
              <w:left w:val="none"/>
              <w:bottom w:val="none"/>
              <w:right w:val="none"/>
            </w:tcBorders>
            <w:shd w:fill="FFFFFF" w:val="clear"/>
            <w:tcMar>
              <w:top w:type="dxa" w:w="100"/>
              <w:left w:type="dxa" w:w="120"/>
              <w:bottom w:type="dxa" w:w="100"/>
              <w:right w:type="dxa" w:w="120"/>
            </w:tcMar>
            <w:vAlign w:val="center"/>
          </w:tcPr>
          <w:p>
            <w:pPr>
              <w:jc w:val="center"/>
            </w:pPr>
            <w:r>
              <w:rPr>
                <w:b/>
                <w:bCs/>
                <w:sz w:val="22"/>
                <w:szCs w:val="22"/>
              </w:rPr>
              <w:t xml:space="preserve">3</w:t>
            </w:r>
          </w:p>
        </w:tc>
      </w:tr>
      <w:tr>
        <w:tc>
          <w:tcPr>
            <w:tcW w:type="dxa" w:w="9500"/>
            <w:tcBorders>
              <w:top w:val="none"/>
              <w:left w:val="none"/>
              <w:bottom w:val="none"/>
              <w:right w:val="none"/>
            </w:tcBorders>
            <w:shd w:fill="F2F2F2" w:val="clear"/>
            <w:tcMar>
              <w:top w:type="dxa" w:w="100"/>
              <w:left w:type="dxa" w:w="120"/>
              <w:bottom w:type="dxa" w:w="100"/>
              <w:right w:type="dxa" w:w="120"/>
            </w:tcMar>
          </w:tcPr>
          <w:p>
            <w:r>
              <w:rPr>
                <w:sz w:val="22"/>
                <w:szCs w:val="22"/>
              </w:rPr>
              <w:t xml:space="preserve">3. Overview of Low-Code Development</w:t>
            </w:r>
          </w:p>
        </w:tc>
        <w:tc>
          <w:tcPr>
            <w:tcW w:type="dxa" w:w="1300"/>
            <w:tcBorders>
              <w:top w:val="none"/>
              <w:left w:val="none"/>
              <w:bottom w:val="none"/>
              <w:right w:val="none"/>
            </w:tcBorders>
            <w:shd w:fill="F2F2F2" w:val="clear"/>
            <w:tcMar>
              <w:top w:type="dxa" w:w="100"/>
              <w:left w:type="dxa" w:w="120"/>
              <w:bottom w:type="dxa" w:w="100"/>
              <w:right w:type="dxa" w:w="120"/>
            </w:tcMar>
            <w:vAlign w:val="center"/>
          </w:tcPr>
          <w:p>
            <w:pPr>
              <w:jc w:val="center"/>
            </w:pPr>
            <w:r>
              <w:rPr>
                <w:b/>
                <w:bCs/>
                <w:sz w:val="22"/>
                <w:szCs w:val="22"/>
              </w:rPr>
              <w:t xml:space="preserve">4</w:t>
            </w:r>
          </w:p>
        </w:tc>
      </w:tr>
      <w:tr>
        <w:tc>
          <w:tcPr>
            <w:tcW w:type="dxa" w:w="9500"/>
            <w:tcBorders>
              <w:top w:val="none"/>
              <w:left w:val="none"/>
              <w:bottom w:val="none"/>
              <w:right w:val="none"/>
            </w:tcBorders>
            <w:shd w:fill="FFFFFF" w:val="clear"/>
            <w:tcMar>
              <w:top w:type="dxa" w:w="100"/>
              <w:left w:type="dxa" w:w="120"/>
              <w:bottom w:type="dxa" w:w="100"/>
              <w:right w:type="dxa" w:w="120"/>
            </w:tcMar>
          </w:tcPr>
          <w:p>
            <w:r>
              <w:rPr>
                <w:sz w:val="22"/>
                <w:szCs w:val="22"/>
              </w:rPr>
              <w:t xml:space="preserve">4. Overview of Traditional Application Development</w:t>
            </w:r>
          </w:p>
        </w:tc>
        <w:tc>
          <w:tcPr>
            <w:tcW w:type="dxa" w:w="1300"/>
            <w:tcBorders>
              <w:top w:val="none"/>
              <w:left w:val="none"/>
              <w:bottom w:val="none"/>
              <w:right w:val="none"/>
            </w:tcBorders>
            <w:shd w:fill="FFFFFF" w:val="clear"/>
            <w:tcMar>
              <w:top w:type="dxa" w:w="100"/>
              <w:left w:type="dxa" w:w="120"/>
              <w:bottom w:type="dxa" w:w="100"/>
              <w:right w:type="dxa" w:w="120"/>
            </w:tcMar>
            <w:vAlign w:val="center"/>
          </w:tcPr>
          <w:p>
            <w:pPr>
              <w:jc w:val="center"/>
            </w:pPr>
            <w:r>
              <w:rPr>
                <w:b/>
                <w:bCs/>
                <w:sz w:val="22"/>
                <w:szCs w:val="22"/>
              </w:rPr>
              <w:t xml:space="preserve">4</w:t>
            </w:r>
          </w:p>
        </w:tc>
      </w:tr>
      <w:tr>
        <w:tc>
          <w:tcPr>
            <w:tcW w:type="dxa" w:w="9500"/>
            <w:tcBorders>
              <w:top w:val="none"/>
              <w:left w:val="none"/>
              <w:bottom w:val="none"/>
              <w:right w:val="none"/>
            </w:tcBorders>
            <w:shd w:fill="F2F2F2" w:val="clear"/>
            <w:tcMar>
              <w:top w:type="dxa" w:w="100"/>
              <w:left w:type="dxa" w:w="120"/>
              <w:bottom w:type="dxa" w:w="100"/>
              <w:right w:type="dxa" w:w="120"/>
            </w:tcMar>
          </w:tcPr>
          <w:p>
            <w:r>
              <w:rPr>
                <w:sz w:val="22"/>
                <w:szCs w:val="22"/>
              </w:rPr>
              <w:t xml:space="preserve">5. Comparative Analysis</w:t>
            </w:r>
          </w:p>
        </w:tc>
        <w:tc>
          <w:tcPr>
            <w:tcW w:type="dxa" w:w="1300"/>
            <w:tcBorders>
              <w:top w:val="none"/>
              <w:left w:val="none"/>
              <w:bottom w:val="none"/>
              <w:right w:val="none"/>
            </w:tcBorders>
            <w:shd w:fill="F2F2F2" w:val="clear"/>
            <w:tcMar>
              <w:top w:type="dxa" w:w="100"/>
              <w:left w:type="dxa" w:w="120"/>
              <w:bottom w:type="dxa" w:w="100"/>
              <w:right w:type="dxa" w:w="120"/>
            </w:tcMar>
            <w:vAlign w:val="center"/>
          </w:tcPr>
          <w:p>
            <w:pPr>
              <w:jc w:val="center"/>
            </w:pPr>
            <w:r>
              <w:rPr>
                <w:b/>
                <w:bCs/>
                <w:sz w:val="22"/>
                <w:szCs w:val="22"/>
              </w:rPr>
              <w:t xml:space="preserve">5</w:t>
            </w:r>
          </w:p>
        </w:tc>
      </w:tr>
      <w:tr>
        <w:tc>
          <w:tcPr>
            <w:tcW w:type="dxa" w:w="9500"/>
            <w:tcBorders>
              <w:top w:val="none"/>
              <w:left w:val="none"/>
              <w:bottom w:val="none"/>
              <w:right w:val="none"/>
            </w:tcBorders>
            <w:shd w:fill="FFFFFF" w:val="clear"/>
            <w:tcMar>
              <w:top w:type="dxa" w:w="100"/>
              <w:left w:type="dxa" w:w="120"/>
              <w:bottom w:type="dxa" w:w="100"/>
              <w:right w:type="dxa" w:w="120"/>
            </w:tcMar>
          </w:tcPr>
          <w:p>
            <w:r>
              <w:rPr>
                <w:sz w:val="22"/>
                <w:szCs w:val="22"/>
              </w:rPr>
              <w:t xml:space="preserve">6. Illustrative Comparative Scoring</w:t>
            </w:r>
          </w:p>
        </w:tc>
        <w:tc>
          <w:tcPr>
            <w:tcW w:type="dxa" w:w="1300"/>
            <w:tcBorders>
              <w:top w:val="none"/>
              <w:left w:val="none"/>
              <w:bottom w:val="none"/>
              <w:right w:val="none"/>
            </w:tcBorders>
            <w:shd w:fill="FFFFFF" w:val="clear"/>
            <w:tcMar>
              <w:top w:type="dxa" w:w="100"/>
              <w:left w:type="dxa" w:w="120"/>
              <w:bottom w:type="dxa" w:w="100"/>
              <w:right w:type="dxa" w:w="120"/>
            </w:tcMar>
            <w:vAlign w:val="center"/>
          </w:tcPr>
          <w:p>
            <w:pPr>
              <w:jc w:val="center"/>
            </w:pPr>
            <w:r>
              <w:rPr>
                <w:b/>
                <w:bCs/>
                <w:sz w:val="22"/>
                <w:szCs w:val="22"/>
              </w:rPr>
              <w:t xml:space="preserve">5</w:t>
            </w:r>
          </w:p>
        </w:tc>
      </w:tr>
      <w:tr>
        <w:tc>
          <w:tcPr>
            <w:tcW w:type="dxa" w:w="9500"/>
            <w:tcBorders>
              <w:top w:val="none"/>
              <w:left w:val="none"/>
              <w:bottom w:val="none"/>
              <w:right w:val="none"/>
            </w:tcBorders>
            <w:shd w:fill="F2F2F2" w:val="clear"/>
            <w:tcMar>
              <w:top w:type="dxa" w:w="100"/>
              <w:left w:type="dxa" w:w="120"/>
              <w:bottom w:type="dxa" w:w="100"/>
              <w:right w:type="dxa" w:w="120"/>
            </w:tcMar>
          </w:tcPr>
          <w:p>
            <w:r>
              <w:rPr>
                <w:sz w:val="22"/>
                <w:szCs w:val="22"/>
              </w:rPr>
              <w:t xml:space="preserve">7. Advantages and Disadvantages</w:t>
            </w:r>
          </w:p>
        </w:tc>
        <w:tc>
          <w:tcPr>
            <w:tcW w:type="dxa" w:w="1300"/>
            <w:tcBorders>
              <w:top w:val="none"/>
              <w:left w:val="none"/>
              <w:bottom w:val="none"/>
              <w:right w:val="none"/>
            </w:tcBorders>
            <w:shd w:fill="F2F2F2" w:val="clear"/>
            <w:tcMar>
              <w:top w:type="dxa" w:w="100"/>
              <w:left w:type="dxa" w:w="120"/>
              <w:bottom w:type="dxa" w:w="100"/>
              <w:right w:type="dxa" w:w="120"/>
            </w:tcMar>
            <w:vAlign w:val="center"/>
          </w:tcPr>
          <w:p>
            <w:pPr>
              <w:jc w:val="center"/>
            </w:pPr>
            <w:r>
              <w:rPr>
                <w:b/>
                <w:bCs/>
                <w:sz w:val="22"/>
                <w:szCs w:val="22"/>
              </w:rPr>
              <w:t xml:space="preserve">7</w:t>
            </w:r>
          </w:p>
        </w:tc>
      </w:tr>
      <w:tr>
        <w:tc>
          <w:tcPr>
            <w:tcW w:type="dxa" w:w="9500"/>
            <w:tcBorders>
              <w:top w:val="none"/>
              <w:left w:val="none"/>
              <w:bottom w:val="none"/>
              <w:right w:val="none"/>
            </w:tcBorders>
            <w:shd w:fill="FFFFFF" w:val="clear"/>
            <w:tcMar>
              <w:top w:type="dxa" w:w="100"/>
              <w:left w:type="dxa" w:w="120"/>
              <w:bottom w:type="dxa" w:w="100"/>
              <w:right w:type="dxa" w:w="120"/>
            </w:tcMar>
          </w:tcPr>
          <w:p>
            <w:r>
              <w:rPr>
                <w:sz w:val="22"/>
                <w:szCs w:val="22"/>
              </w:rPr>
              <w:t xml:space="preserve">8. When to Choose Each Approach</w:t>
            </w:r>
          </w:p>
        </w:tc>
        <w:tc>
          <w:tcPr>
            <w:tcW w:type="dxa" w:w="1300"/>
            <w:tcBorders>
              <w:top w:val="none"/>
              <w:left w:val="none"/>
              <w:bottom w:val="none"/>
              <w:right w:val="none"/>
            </w:tcBorders>
            <w:shd w:fill="FFFFFF" w:val="clear"/>
            <w:tcMar>
              <w:top w:type="dxa" w:w="100"/>
              <w:left w:type="dxa" w:w="120"/>
              <w:bottom w:type="dxa" w:w="100"/>
              <w:right w:type="dxa" w:w="120"/>
            </w:tcMar>
            <w:vAlign w:val="center"/>
          </w:tcPr>
          <w:p>
            <w:pPr>
              <w:jc w:val="center"/>
            </w:pPr>
            <w:r>
              <w:rPr>
                <w:b/>
                <w:bCs/>
                <w:sz w:val="22"/>
                <w:szCs w:val="22"/>
              </w:rPr>
              <w:t xml:space="preserve">8</w:t>
            </w:r>
          </w:p>
        </w:tc>
      </w:tr>
      <w:tr>
        <w:tc>
          <w:tcPr>
            <w:tcW w:type="dxa" w:w="9500"/>
            <w:tcBorders>
              <w:top w:val="none"/>
              <w:left w:val="none"/>
              <w:bottom w:val="none"/>
              <w:right w:val="none"/>
            </w:tcBorders>
            <w:shd w:fill="F2F2F2" w:val="clear"/>
            <w:tcMar>
              <w:top w:type="dxa" w:w="100"/>
              <w:left w:type="dxa" w:w="120"/>
              <w:bottom w:type="dxa" w:w="100"/>
              <w:right w:type="dxa" w:w="120"/>
            </w:tcMar>
          </w:tcPr>
          <w:p>
            <w:r>
              <w:rPr>
                <w:sz w:val="22"/>
                <w:szCs w:val="22"/>
              </w:rPr>
              <w:t xml:space="preserve">9. Emerging Trends</w:t>
            </w:r>
          </w:p>
        </w:tc>
        <w:tc>
          <w:tcPr>
            <w:tcW w:type="dxa" w:w="1300"/>
            <w:tcBorders>
              <w:top w:val="none"/>
              <w:left w:val="none"/>
              <w:bottom w:val="none"/>
              <w:right w:val="none"/>
            </w:tcBorders>
            <w:shd w:fill="F2F2F2" w:val="clear"/>
            <w:tcMar>
              <w:top w:type="dxa" w:w="100"/>
              <w:left w:type="dxa" w:w="120"/>
              <w:bottom w:type="dxa" w:w="100"/>
              <w:right w:type="dxa" w:w="120"/>
            </w:tcMar>
            <w:vAlign w:val="center"/>
          </w:tcPr>
          <w:p>
            <w:pPr>
              <w:jc w:val="center"/>
            </w:pPr>
            <w:r>
              <w:rPr>
                <w:b/>
                <w:bCs/>
                <w:sz w:val="22"/>
                <w:szCs w:val="22"/>
              </w:rPr>
              <w:t xml:space="preserve">9</w:t>
            </w:r>
          </w:p>
        </w:tc>
      </w:tr>
      <w:tr>
        <w:tc>
          <w:tcPr>
            <w:tcW w:type="dxa" w:w="9500"/>
            <w:tcBorders>
              <w:top w:val="none"/>
              <w:left w:val="none"/>
              <w:bottom w:val="none"/>
              <w:right w:val="none"/>
            </w:tcBorders>
            <w:shd w:fill="FFFFFF" w:val="clear"/>
            <w:tcMar>
              <w:top w:type="dxa" w:w="100"/>
              <w:left w:type="dxa" w:w="120"/>
              <w:bottom w:type="dxa" w:w="100"/>
              <w:right w:type="dxa" w:w="120"/>
            </w:tcMar>
          </w:tcPr>
          <w:p>
            <w:r>
              <w:rPr>
                <w:sz w:val="22"/>
                <w:szCs w:val="22"/>
              </w:rPr>
              <w:t xml:space="preserve">10. Conclusion</w:t>
            </w:r>
          </w:p>
        </w:tc>
        <w:tc>
          <w:tcPr>
            <w:tcW w:type="dxa" w:w="1300"/>
            <w:tcBorders>
              <w:top w:val="none"/>
              <w:left w:val="none"/>
              <w:bottom w:val="none"/>
              <w:right w:val="none"/>
            </w:tcBorders>
            <w:shd w:fill="FFFFFF" w:val="clear"/>
            <w:tcMar>
              <w:top w:type="dxa" w:w="100"/>
              <w:left w:type="dxa" w:w="120"/>
              <w:bottom w:type="dxa" w:w="100"/>
              <w:right w:type="dxa" w:w="120"/>
            </w:tcMar>
            <w:vAlign w:val="center"/>
          </w:tcPr>
          <w:p>
            <w:pPr>
              <w:jc w:val="center"/>
            </w:pPr>
            <w:r>
              <w:rPr>
                <w:b/>
                <w:bCs/>
                <w:sz w:val="22"/>
                <w:szCs w:val="22"/>
              </w:rPr>
              <w:t xml:space="preserve">9</w:t>
            </w:r>
          </w:p>
        </w:tc>
      </w:tr>
    </w:tbl>
    <w:p>
      <w:pPr>
        <w:sectPr>
          <w:headerReference w:type="default" r:id="rId8"/>
          <w:footerReference w:type="default" r:id="rId9"/>
          <w:pgSz w:w="12240" w:h="15840" w:orient="portrait"/>
          <w:pgMar w:top="1440" w:right="1440" w:bottom="1440" w:left="1440" w:header="708" w:footer="708" w:gutter="0"/>
          <w:pgNumType/>
          <w:docGrid w:linePitch="360"/>
        </w:sectPr>
      </w:pPr>
    </w:p>
    <w:p>
      <w:pPr>
        <w:pStyle w:val="Heading1"/>
        <w:pBdr>
          <w:bottom w:val="single" w:color="2E5C99" w:sz="8" w:space="4"/>
        </w:pBdr>
        <w:spacing w:after="200" w:before="400"/>
      </w:pPr>
      <w:r>
        <w:rPr>
          <w:b/>
          <w:bCs/>
          <w:color w:val="1F3864"/>
        </w:rPr>
        <w:t xml:space="preserve">1. Executive Summary</w:t>
      </w:r>
    </w:p>
    <w:p>
      <w:pPr>
        <w:spacing w:after="200" w:line="300"/>
        <w:jc w:val="both"/>
      </w:pPr>
      <w:r>
        <w:rPr>
          <w:sz w:val="22"/>
          <w:szCs w:val="22"/>
        </w:rPr>
        <w:t xml:space="preserve">Organizations today face mounting pressure to deliver digital solutions faster, cheaper, and with greater agility than ever before. Two dominant approaches compete for this mandate: low-code development, which relies on visual, model-driven tools to assemble applications with minimal hand-written code, and traditional development, which relies on professional software engineers writing custom code across the full technology stack.</w:t>
      </w:r>
    </w:p>
    <w:p>
      <w:pPr>
        <w:spacing w:after="200" w:line="300"/>
        <w:jc w:val="both"/>
      </w:pPr>
      <w:r>
        <w:rPr>
          <w:sz w:val="22"/>
          <w:szCs w:val="22"/>
        </w:rPr>
        <w:t xml:space="preserve">This study presents a structured comparison of both approaches across ten critical dimensions — including speed, cost, flexibility, scalability, security, and long-term maintainability. It also examines the advantages and disadvantages of each approach, outlines scenarios where one is clearly preferable to the other, and offers a decision framework to help technology leaders select the right approach for a given project.</w:t>
      </w:r>
    </w:p>
    <w:p>
      <w:pPr>
        <w:spacing w:after="200" w:line="300"/>
        <w:jc w:val="both"/>
      </w:pPr>
      <w:r>
        <w:rPr>
          <w:sz w:val="22"/>
          <w:szCs w:val="22"/>
        </w:rPr>
        <w:t xml:space="preserve">The analysis concludes that low-code and traditional development are not mutually exclusive competitors but complementary tools within a modern application delivery strategy. The right choice depends on project complexity, scale, budget, timeline, and the organization's long-term technology roadmap.</w:t>
      </w:r>
    </w:p>
    <w:p>
      <w:pPr>
        <w:pStyle w:val="Heading1"/>
        <w:pBdr>
          <w:bottom w:val="single" w:color="2E5C99" w:sz="8" w:space="4"/>
        </w:pBdr>
        <w:spacing w:after="200" w:before="400"/>
      </w:pPr>
      <w:r>
        <w:rPr>
          <w:b/>
          <w:bCs/>
          <w:color w:val="1F3864"/>
        </w:rPr>
        <w:t xml:space="preserve">2. Introduction</w:t>
      </w:r>
    </w:p>
    <w:p>
      <w:pPr>
        <w:spacing w:after="200" w:line="300"/>
        <w:jc w:val="both"/>
      </w:pPr>
      <w:r>
        <w:rPr>
          <w:sz w:val="22"/>
          <w:szCs w:val="22"/>
        </w:rPr>
        <w:t xml:space="preserve">Application development has undergone significant transformation over the past decade. The rise of digital transformation initiatives, coupled with a persistent shortage of skilled software engineers, has driven demand for faster and more accessible ways to build software. Low-code development platforms emerged as a response to this demand, offering visual interfaces, reusable components, and automated workflows that allow both professional developers and non-technical business users to build applications quickly.</w:t>
      </w:r>
    </w:p>
    <w:p>
      <w:pPr>
        <w:spacing w:after="200" w:line="300"/>
        <w:jc w:val="both"/>
      </w:pPr>
      <w:r>
        <w:rPr>
          <w:sz w:val="22"/>
          <w:szCs w:val="22"/>
        </w:rPr>
        <w:t xml:space="preserve">Traditional development, by contrast, remains the backbone of enterprise software engineering. It involves writing source code in programming languages such as Java, Python, C#, or JavaScript, using established frameworks, version control systems, and rigorous testing practices. This approach offers unmatched control, flexibility, and scalability, but typically requires more time, budget, and specialized talent.</w:t>
      </w:r>
    </w:p>
    <w:p>
      <w:pPr>
        <w:spacing w:after="200" w:line="300"/>
        <w:jc w:val="both"/>
      </w:pPr>
      <w:r>
        <w:rPr>
          <w:sz w:val="22"/>
          <w:szCs w:val="22"/>
        </w:rPr>
        <w:t xml:space="preserve">This document examines both approaches in depth, comparing their methodologies, strengths, limitations, and suitability for different classes of projects. The goal is to equip decision-makers with a clear, evidence-based understanding of when to adopt each approach — or how to combine them effectively.</w:t>
      </w:r>
    </w:p>
    <w:p>
      <w:pPr>
        <w:pStyle w:val="Heading1"/>
        <w:pBdr>
          <w:bottom w:val="single" w:color="2E5C99" w:sz="8" w:space="4"/>
        </w:pBdr>
        <w:spacing w:after="200" w:before="400"/>
      </w:pPr>
      <w:r>
        <w:rPr>
          <w:b/>
          <w:bCs/>
          <w:color w:val="1F3864"/>
        </w:rPr>
        <w:t xml:space="preserve">3. Overview of Low-Code Development</w:t>
      </w:r>
    </w:p>
    <w:p>
      <w:pPr>
        <w:spacing w:after="200" w:line="300"/>
        <w:jc w:val="both"/>
      </w:pPr>
      <w:r>
        <w:rPr>
          <w:sz w:val="22"/>
          <w:szCs w:val="22"/>
        </w:rPr>
        <w:t xml:space="preserve">Low-code development platforms (LCDPs) provide a visual development environment that allows applications to be built using drag-and-drop components, pre-built templates, declarative configuration, and reusable modules. Developers — including citizen developers with limited programming experience — assemble application logic visually rather than writing extensive lines of code.</w:t>
      </w:r>
    </w:p>
    <w:p>
      <w:pPr>
        <w:pStyle w:val="Heading2"/>
        <w:spacing w:after="150" w:before="300"/>
      </w:pPr>
      <w:r>
        <w:rPr>
          <w:b/>
          <w:bCs/>
          <w:color w:val="2E5C99"/>
        </w:rPr>
        <w:t xml:space="preserve">3.1 Core Characteristics</w:t>
      </w:r>
    </w:p>
    <w:p>
      <w:pPr>
        <w:pStyle w:val="ListParagraph"/>
        <w:numPr>
          <w:ilvl w:val="0"/>
          <w:numId w:val="2"/>
        </w:numPr>
        <w:spacing w:after="120" w:line="280"/>
      </w:pPr>
      <w:r>
        <w:rPr>
          <w:sz w:val="22"/>
          <w:szCs w:val="22"/>
        </w:rPr>
        <w:t xml:space="preserve">Visual, model-driven design environments with drag-and-drop interfaces.</w:t>
      </w:r>
    </w:p>
    <w:p>
      <w:pPr>
        <w:pStyle w:val="ListParagraph"/>
        <w:numPr>
          <w:ilvl w:val="0"/>
          <w:numId w:val="2"/>
        </w:numPr>
        <w:spacing w:after="120" w:line="280"/>
      </w:pPr>
      <w:r>
        <w:rPr>
          <w:sz w:val="22"/>
          <w:szCs w:val="22"/>
        </w:rPr>
        <w:t xml:space="preserve">Prebuilt templates, connectors, and reusable components.</w:t>
      </w:r>
    </w:p>
    <w:p>
      <w:pPr>
        <w:pStyle w:val="ListParagraph"/>
        <w:numPr>
          <w:ilvl w:val="0"/>
          <w:numId w:val="2"/>
        </w:numPr>
        <w:spacing w:after="120" w:line="280"/>
      </w:pPr>
      <w:r>
        <w:rPr>
          <w:sz w:val="22"/>
          <w:szCs w:val="22"/>
        </w:rPr>
        <w:t xml:space="preserve">Automated deployment, hosting, and infrastructure management.</w:t>
      </w:r>
    </w:p>
    <w:p>
      <w:pPr>
        <w:pStyle w:val="ListParagraph"/>
        <w:numPr>
          <w:ilvl w:val="0"/>
          <w:numId w:val="2"/>
        </w:numPr>
        <w:spacing w:after="120" w:line="280"/>
      </w:pPr>
      <w:r>
        <w:rPr>
          <w:sz w:val="22"/>
          <w:szCs w:val="22"/>
        </w:rPr>
        <w:t xml:space="preserve">Built-in integrations with common enterprise systems (CRM, ERP, databases).</w:t>
      </w:r>
    </w:p>
    <w:p>
      <w:pPr>
        <w:pStyle w:val="ListParagraph"/>
        <w:numPr>
          <w:ilvl w:val="0"/>
          <w:numId w:val="2"/>
        </w:numPr>
        <w:spacing w:after="120" w:line="280"/>
      </w:pPr>
      <w:r>
        <w:rPr>
          <w:sz w:val="22"/>
          <w:szCs w:val="22"/>
        </w:rPr>
        <w:t xml:space="preserve">Support for both professional developers and citizen developers.</w:t>
      </w:r>
    </w:p>
    <w:p>
      <w:pPr>
        <w:spacing w:after="200" w:line="300"/>
        <w:jc w:val="both"/>
      </w:pPr>
      <w:r>
        <w:rPr>
          <w:sz w:val="22"/>
          <w:szCs w:val="22"/>
        </w:rPr>
        <w:t xml:space="preserve">Popular categories of low-code platforms include general-purpose application builders, workflow and process automation tools, and mobile app builders. These platforms are increasingly used for internal business tools, customer-facing MVPs, and departmental process automation.</w:t>
      </w:r>
    </w:p>
    <w:p>
      <w:pPr>
        <w:pStyle w:val="Heading1"/>
        <w:pBdr>
          <w:bottom w:val="single" w:color="2E5C99" w:sz="8" w:space="4"/>
        </w:pBdr>
        <w:spacing w:after="200" w:before="400"/>
      </w:pPr>
      <w:r>
        <w:rPr>
          <w:b/>
          <w:bCs/>
          <w:color w:val="1F3864"/>
        </w:rPr>
        <w:t xml:space="preserve">4. Overview of Traditional Application Development</w:t>
      </w:r>
    </w:p>
    <w:p>
      <w:pPr>
        <w:spacing w:after="200" w:line="300"/>
        <w:jc w:val="both"/>
      </w:pPr>
      <w:r>
        <w:rPr>
          <w:sz w:val="22"/>
          <w:szCs w:val="22"/>
        </w:rPr>
        <w:t xml:space="preserve">Traditional application development refers to the conventional software engineering process in which developers write, compile, test, and deploy source code manually using programming languages and frameworks. This approach follows established software development life cycle (SDLC) methodologies such as Waterfall, Agile, or DevOps.</w:t>
      </w:r>
    </w:p>
    <w:p>
      <w:pPr>
        <w:pStyle w:val="Heading2"/>
        <w:spacing w:after="150" w:before="300"/>
      </w:pPr>
      <w:r>
        <w:rPr>
          <w:b/>
          <w:bCs/>
          <w:color w:val="2E5C99"/>
        </w:rPr>
        <w:t xml:space="preserve">4.1 Core Characteristics</w:t>
      </w:r>
    </w:p>
    <w:p>
      <w:pPr>
        <w:pStyle w:val="ListParagraph"/>
        <w:numPr>
          <w:ilvl w:val="0"/>
          <w:numId w:val="2"/>
        </w:numPr>
        <w:spacing w:after="120" w:line="280"/>
      </w:pPr>
      <w:r>
        <w:rPr>
          <w:sz w:val="22"/>
          <w:szCs w:val="22"/>
        </w:rPr>
        <w:t xml:space="preserve">Hand-written source code using general-purpose programming languages.</w:t>
      </w:r>
    </w:p>
    <w:p>
      <w:pPr>
        <w:pStyle w:val="ListParagraph"/>
        <w:numPr>
          <w:ilvl w:val="0"/>
          <w:numId w:val="2"/>
        </w:numPr>
        <w:spacing w:after="120" w:line="280"/>
      </w:pPr>
      <w:r>
        <w:rPr>
          <w:sz w:val="22"/>
          <w:szCs w:val="22"/>
        </w:rPr>
        <w:t xml:space="preserve">Full control over architecture, data models, and system design.</w:t>
      </w:r>
    </w:p>
    <w:p>
      <w:pPr>
        <w:pStyle w:val="ListParagraph"/>
        <w:numPr>
          <w:ilvl w:val="0"/>
          <w:numId w:val="2"/>
        </w:numPr>
        <w:spacing w:after="120" w:line="280"/>
      </w:pPr>
      <w:r>
        <w:rPr>
          <w:sz w:val="22"/>
          <w:szCs w:val="22"/>
        </w:rPr>
        <w:t xml:space="preserve">Custom integrations with any internal or external system.</w:t>
      </w:r>
    </w:p>
    <w:p>
      <w:pPr>
        <w:pStyle w:val="ListParagraph"/>
        <w:numPr>
          <w:ilvl w:val="0"/>
          <w:numId w:val="2"/>
        </w:numPr>
        <w:spacing w:after="120" w:line="280"/>
      </w:pPr>
      <w:r>
        <w:rPr>
          <w:sz w:val="22"/>
          <w:szCs w:val="22"/>
        </w:rPr>
        <w:t xml:space="preserve">Rigorous testing, code review, and quality assurance processes.</w:t>
      </w:r>
    </w:p>
    <w:p>
      <w:pPr>
        <w:pStyle w:val="ListParagraph"/>
        <w:numPr>
          <w:ilvl w:val="0"/>
          <w:numId w:val="2"/>
        </w:numPr>
        <w:spacing w:after="120" w:line="280"/>
      </w:pPr>
      <w:r>
        <w:rPr>
          <w:sz w:val="22"/>
          <w:szCs w:val="22"/>
        </w:rPr>
        <w:t xml:space="preserve">Requires trained software engineers and dedicated infrastructure teams.</w:t>
      </w:r>
    </w:p>
    <w:p>
      <w:pPr>
        <w:spacing w:after="200" w:line="300"/>
        <w:jc w:val="both"/>
      </w:pPr>
      <w:r>
        <w:rPr>
          <w:sz w:val="22"/>
          <w:szCs w:val="22"/>
        </w:rPr>
        <w:t xml:space="preserve">Traditional development remains the standard for building complex, large-scale, performance-critical, or highly regulated systems where customization, control, and long-term scalability are paramount.</w:t>
      </w:r>
    </w:p>
    <w:p>
      <w:r>
        <w:br w:type="page"/>
      </w:r>
    </w:p>
    <w:p>
      <w:pPr>
        <w:pStyle w:val="Heading1"/>
        <w:pBdr>
          <w:bottom w:val="single" w:color="2E5C99" w:sz="8" w:space="4"/>
        </w:pBdr>
        <w:spacing w:after="200" w:before="400"/>
      </w:pPr>
      <w:r>
        <w:rPr>
          <w:b/>
          <w:bCs/>
          <w:color w:val="1F3864"/>
        </w:rPr>
        <w:t xml:space="preserve">5. Comparative Analysis</w:t>
      </w:r>
    </w:p>
    <w:p>
      <w:pPr>
        <w:spacing w:after="200" w:line="300"/>
        <w:jc w:val="both"/>
      </w:pPr>
      <w:r>
        <w:rPr>
          <w:sz w:val="22"/>
          <w:szCs w:val="22"/>
        </w:rPr>
        <w:t xml:space="preserve">The table below compares low-code and traditional development approaches across the ten most critical dimensions relevant to enterprise decision-making.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4100"/>
      </w:tblGrid>
      <w:tr>
        <w:trPr>
          <w:tblHeader/>
        </w:trPr>
        <w:tc>
          <w:tcPr>
            <w:tcW w:type="dxa" w:w="2600"/>
            <w:shd w:fill="1F3864" w:val="clear"/>
            <w:tcMar>
              <w:top w:type="dxa" w:w="100"/>
              <w:left w:type="dxa" w:w="120"/>
              <w:bottom w:type="dxa" w:w="100"/>
              <w:right w:type="dxa" w:w="120"/>
            </w:tcMar>
            <w:vAlign w:val="center"/>
          </w:tcPr>
          <w:p>
            <w:pPr>
              <w:jc w:val="left"/>
            </w:pPr>
            <w:r>
              <w:rPr>
                <w:b/>
                <w:bCs/>
                <w:color w:val="FFFFFF"/>
                <w:sz w:val="20"/>
                <w:szCs w:val="20"/>
              </w:rPr>
              <w:t xml:space="preserve">Dimension</w:t>
            </w:r>
          </w:p>
        </w:tc>
        <w:tc>
          <w:tcPr>
            <w:tcW w:type="dxa" w:w="4100"/>
            <w:shd w:fill="1F3864" w:val="clear"/>
            <w:tcMar>
              <w:top w:type="dxa" w:w="100"/>
              <w:left w:type="dxa" w:w="120"/>
              <w:bottom w:type="dxa" w:w="100"/>
              <w:right w:type="dxa" w:w="120"/>
            </w:tcMar>
            <w:vAlign w:val="center"/>
          </w:tcPr>
          <w:p>
            <w:pPr>
              <w:jc w:val="left"/>
            </w:pPr>
            <w:r>
              <w:rPr>
                <w:b/>
                <w:bCs/>
                <w:color w:val="FFFFFF"/>
                <w:sz w:val="20"/>
                <w:szCs w:val="20"/>
              </w:rPr>
              <w:t xml:space="preserve">Low-Code Development</w:t>
            </w:r>
          </w:p>
        </w:tc>
        <w:tc>
          <w:tcPr>
            <w:tcW w:type="dxa" w:w="4100"/>
            <w:shd w:fill="1F3864" w:val="clear"/>
            <w:tcMar>
              <w:top w:type="dxa" w:w="100"/>
              <w:left w:type="dxa" w:w="120"/>
              <w:bottom w:type="dxa" w:w="100"/>
              <w:right w:type="dxa" w:w="120"/>
            </w:tcMar>
            <w:vAlign w:val="center"/>
          </w:tcPr>
          <w:p>
            <w:pPr>
              <w:jc w:val="left"/>
            </w:pPr>
            <w:r>
              <w:rPr>
                <w:b/>
                <w:bCs/>
                <w:color w:val="FFFFFF"/>
                <w:sz w:val="20"/>
                <w:szCs w:val="20"/>
              </w:rPr>
              <w:t xml:space="preserve">Traditional Development</w:t>
            </w:r>
          </w:p>
        </w:tc>
      </w:tr>
      <w:tr>
        <w:tc>
          <w:tcPr>
            <w:tcW w:type="dxa" w:w="2600"/>
            <w:shd w:fill="F2F2F2" w:val="clear"/>
            <w:tcMar>
              <w:top w:type="dxa" w:w="100"/>
              <w:left w:type="dxa" w:w="120"/>
              <w:bottom w:type="dxa" w:w="100"/>
              <w:right w:type="dxa" w:w="120"/>
            </w:tcMar>
            <w:vAlign w:val="center"/>
          </w:tcPr>
          <w:p>
            <w:pPr>
              <w:jc w:val="left"/>
            </w:pPr>
            <w:r>
              <w:rPr>
                <w:b/>
                <w:bCs/>
                <w:color w:val="1F3864"/>
                <w:sz w:val="20"/>
                <w:szCs w:val="20"/>
              </w:rPr>
              <w:t xml:space="preserve">Development Speed</w:t>
            </w:r>
          </w:p>
        </w:tc>
        <w:tc>
          <w:tcPr>
            <w:tcW w:type="dxa" w:w="41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Very fast — visual builders, drag-and-drop components, and prebuilt templates can cut delivery time by 50-90%.</w:t>
            </w:r>
          </w:p>
        </w:tc>
        <w:tc>
          <w:tcPr>
            <w:tcW w:type="dxa" w:w="41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Slower — requires writing, compiling, and testing code line by line across the full stack.</w:t>
            </w:r>
          </w:p>
        </w:tc>
      </w:tr>
      <w:tr>
        <w:tc>
          <w:tcPr>
            <w:tcW w:type="dxa" w:w="2600"/>
            <w:shd w:fill="FFFFFF" w:val="clear"/>
            <w:tcMar>
              <w:top w:type="dxa" w:w="100"/>
              <w:left w:type="dxa" w:w="120"/>
              <w:bottom w:type="dxa" w:w="100"/>
              <w:right w:type="dxa" w:w="120"/>
            </w:tcMar>
            <w:vAlign w:val="center"/>
          </w:tcPr>
          <w:p>
            <w:pPr>
              <w:jc w:val="left"/>
            </w:pPr>
            <w:r>
              <w:rPr>
                <w:b/>
                <w:bCs/>
                <w:color w:val="1F3864"/>
                <w:sz w:val="20"/>
                <w:szCs w:val="20"/>
              </w:rPr>
              <w:t xml:space="preserve">Cost of Development</w:t>
            </w:r>
          </w:p>
        </w:tc>
        <w:tc>
          <w:tcPr>
            <w:tcW w:type="dxa" w:w="41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Lower upfront cost; reduced need for large specialist teams, though platform licensing fees apply.</w:t>
            </w:r>
          </w:p>
        </w:tc>
        <w:tc>
          <w:tcPr>
            <w:tcW w:type="dxa" w:w="41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Higher upfront cost; requires skilled engineers, longer timelines, and larger teams.</w:t>
            </w:r>
          </w:p>
        </w:tc>
      </w:tr>
      <w:tr>
        <w:tc>
          <w:tcPr>
            <w:tcW w:type="dxa" w:w="2600"/>
            <w:shd w:fill="F2F2F2" w:val="clear"/>
            <w:tcMar>
              <w:top w:type="dxa" w:w="100"/>
              <w:left w:type="dxa" w:w="120"/>
              <w:bottom w:type="dxa" w:w="100"/>
              <w:right w:type="dxa" w:w="120"/>
            </w:tcMar>
            <w:vAlign w:val="center"/>
          </w:tcPr>
          <w:p>
            <w:pPr>
              <w:jc w:val="left"/>
            </w:pPr>
            <w:r>
              <w:rPr>
                <w:b/>
                <w:bCs/>
                <w:color w:val="1F3864"/>
                <w:sz w:val="20"/>
                <w:szCs w:val="20"/>
              </w:rPr>
              <w:t xml:space="preserve">Required Skill Level</w:t>
            </w:r>
          </w:p>
        </w:tc>
        <w:tc>
          <w:tcPr>
            <w:tcW w:type="dxa" w:w="41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Accessible to citizen developers and business analysts with minimal coding background.</w:t>
            </w:r>
          </w:p>
        </w:tc>
        <w:tc>
          <w:tcPr>
            <w:tcW w:type="dxa" w:w="41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Requires trained software engineers proficient in programming languages and frameworks.</w:t>
            </w:r>
          </w:p>
        </w:tc>
      </w:tr>
      <w:tr>
        <w:tc>
          <w:tcPr>
            <w:tcW w:type="dxa" w:w="2600"/>
            <w:shd w:fill="FFFFFF" w:val="clear"/>
            <w:tcMar>
              <w:top w:type="dxa" w:w="100"/>
              <w:left w:type="dxa" w:w="120"/>
              <w:bottom w:type="dxa" w:w="100"/>
              <w:right w:type="dxa" w:w="120"/>
            </w:tcMar>
            <w:vAlign w:val="center"/>
          </w:tcPr>
          <w:p>
            <w:pPr>
              <w:jc w:val="left"/>
            </w:pPr>
            <w:r>
              <w:rPr>
                <w:b/>
                <w:bCs/>
                <w:color w:val="1F3864"/>
                <w:sz w:val="20"/>
                <w:szCs w:val="20"/>
              </w:rPr>
              <w:t xml:space="preserve">Customization &amp; Flexibility</w:t>
            </w:r>
          </w:p>
        </w:tc>
        <w:tc>
          <w:tcPr>
            <w:tcW w:type="dxa" w:w="41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Limited by platform capabilities; complex or highly unique logic can be difficult to implement.</w:t>
            </w:r>
          </w:p>
        </w:tc>
        <w:tc>
          <w:tcPr>
            <w:tcW w:type="dxa" w:w="41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Virtually unlimited; developers can build any feature or integration from scratch.</w:t>
            </w:r>
          </w:p>
        </w:tc>
      </w:tr>
      <w:tr>
        <w:tc>
          <w:tcPr>
            <w:tcW w:type="dxa" w:w="2600"/>
            <w:shd w:fill="F2F2F2" w:val="clear"/>
            <w:tcMar>
              <w:top w:type="dxa" w:w="100"/>
              <w:left w:type="dxa" w:w="120"/>
              <w:bottom w:type="dxa" w:w="100"/>
              <w:right w:type="dxa" w:w="120"/>
            </w:tcMar>
            <w:vAlign w:val="center"/>
          </w:tcPr>
          <w:p>
            <w:pPr>
              <w:jc w:val="left"/>
            </w:pPr>
            <w:r>
              <w:rPr>
                <w:b/>
                <w:bCs/>
                <w:color w:val="1F3864"/>
                <w:sz w:val="20"/>
                <w:szCs w:val="20"/>
              </w:rPr>
              <w:t xml:space="preserve">Scalability</w:t>
            </w:r>
          </w:p>
        </w:tc>
        <w:tc>
          <w:tcPr>
            <w:tcW w:type="dxa" w:w="41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Generally good for small-to-medium workloads; large-scale enterprise systems may hit platform limits.</w:t>
            </w:r>
          </w:p>
        </w:tc>
        <w:tc>
          <w:tcPr>
            <w:tcW w:type="dxa" w:w="41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Highly scalable when architected properly; suited to mission-critical, high-volume systems.</w:t>
            </w:r>
          </w:p>
        </w:tc>
      </w:tr>
      <w:tr>
        <w:tc>
          <w:tcPr>
            <w:tcW w:type="dxa" w:w="2600"/>
            <w:shd w:fill="FFFFFF" w:val="clear"/>
            <w:tcMar>
              <w:top w:type="dxa" w:w="100"/>
              <w:left w:type="dxa" w:w="120"/>
              <w:bottom w:type="dxa" w:w="100"/>
              <w:right w:type="dxa" w:w="120"/>
            </w:tcMar>
            <w:vAlign w:val="center"/>
          </w:tcPr>
          <w:p>
            <w:pPr>
              <w:jc w:val="left"/>
            </w:pPr>
            <w:r>
              <w:rPr>
                <w:b/>
                <w:bCs/>
                <w:color w:val="1F3864"/>
                <w:sz w:val="20"/>
                <w:szCs w:val="20"/>
              </w:rPr>
              <w:t xml:space="preserve">Maintenance &amp; Upgrades</w:t>
            </w:r>
          </w:p>
        </w:tc>
        <w:tc>
          <w:tcPr>
            <w:tcW w:type="dxa" w:w="41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Simplified — platform vendor manages infrastructure, patches, and updates.</w:t>
            </w:r>
          </w:p>
        </w:tc>
        <w:tc>
          <w:tcPr>
            <w:tcW w:type="dxa" w:w="41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Requires dedicated ongoing maintenance, patching, and technical debt management.</w:t>
            </w:r>
          </w:p>
        </w:tc>
      </w:tr>
      <w:tr>
        <w:tc>
          <w:tcPr>
            <w:tcW w:type="dxa" w:w="2600"/>
            <w:shd w:fill="F2F2F2" w:val="clear"/>
            <w:tcMar>
              <w:top w:type="dxa" w:w="100"/>
              <w:left w:type="dxa" w:w="120"/>
              <w:bottom w:type="dxa" w:w="100"/>
              <w:right w:type="dxa" w:w="120"/>
            </w:tcMar>
            <w:vAlign w:val="center"/>
          </w:tcPr>
          <w:p>
            <w:pPr>
              <w:jc w:val="left"/>
            </w:pPr>
            <w:r>
              <w:rPr>
                <w:b/>
                <w:bCs/>
                <w:color w:val="1F3864"/>
                <w:sz w:val="20"/>
                <w:szCs w:val="20"/>
              </w:rPr>
              <w:t xml:space="preserve">Integration Capability</w:t>
            </w:r>
          </w:p>
        </w:tc>
        <w:tc>
          <w:tcPr>
            <w:tcW w:type="dxa" w:w="41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Offers built-in connectors for common systems; custom or legacy integrations can be constrained.</w:t>
            </w:r>
          </w:p>
        </w:tc>
        <w:tc>
          <w:tcPr>
            <w:tcW w:type="dxa" w:w="41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Fully customizable integration with any internal or third-party system or protocol.</w:t>
            </w:r>
          </w:p>
        </w:tc>
      </w:tr>
      <w:tr>
        <w:tc>
          <w:tcPr>
            <w:tcW w:type="dxa" w:w="2600"/>
            <w:shd w:fill="FFFFFF" w:val="clear"/>
            <w:tcMar>
              <w:top w:type="dxa" w:w="100"/>
              <w:left w:type="dxa" w:w="120"/>
              <w:bottom w:type="dxa" w:w="100"/>
              <w:right w:type="dxa" w:w="120"/>
            </w:tcMar>
            <w:vAlign w:val="center"/>
          </w:tcPr>
          <w:p>
            <w:pPr>
              <w:jc w:val="left"/>
            </w:pPr>
            <w:r>
              <w:rPr>
                <w:b/>
                <w:bCs/>
                <w:color w:val="1F3864"/>
                <w:sz w:val="20"/>
                <w:szCs w:val="20"/>
              </w:rPr>
              <w:t xml:space="preserve">Security &amp; Compliance</w:t>
            </w:r>
          </w:p>
        </w:tc>
        <w:tc>
          <w:tcPr>
            <w:tcW w:type="dxa" w:w="41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Depends on vendor's security posture; less direct control over the underlying stack.</w:t>
            </w:r>
          </w:p>
        </w:tc>
        <w:tc>
          <w:tcPr>
            <w:tcW w:type="dxa" w:w="41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Full control over security architecture, enabling tailored compliance implementations.</w:t>
            </w:r>
          </w:p>
        </w:tc>
      </w:tr>
      <w:tr>
        <w:tc>
          <w:tcPr>
            <w:tcW w:type="dxa" w:w="2600"/>
            <w:shd w:fill="F2F2F2" w:val="clear"/>
            <w:tcMar>
              <w:top w:type="dxa" w:w="100"/>
              <w:left w:type="dxa" w:w="120"/>
              <w:bottom w:type="dxa" w:w="100"/>
              <w:right w:type="dxa" w:w="120"/>
            </w:tcMar>
            <w:vAlign w:val="center"/>
          </w:tcPr>
          <w:p>
            <w:pPr>
              <w:jc w:val="left"/>
            </w:pPr>
            <w:r>
              <w:rPr>
                <w:b/>
                <w:bCs/>
                <w:color w:val="1F3864"/>
                <w:sz w:val="20"/>
                <w:szCs w:val="20"/>
              </w:rPr>
              <w:t xml:space="preserve">Vendor Lock-in Risk</w:t>
            </w:r>
          </w:p>
        </w:tc>
        <w:tc>
          <w:tcPr>
            <w:tcW w:type="dxa" w:w="41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Higher — applications are often tied to the platform's proprietary runtime and data model.</w:t>
            </w:r>
          </w:p>
        </w:tc>
        <w:tc>
          <w:tcPr>
            <w:tcW w:type="dxa" w:w="41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Lower — code and architecture are owned entirely by the organization.</w:t>
            </w:r>
          </w:p>
        </w:tc>
      </w:tr>
      <w:tr>
        <w:tc>
          <w:tcPr>
            <w:tcW w:type="dxa" w:w="2600"/>
            <w:shd w:fill="FFFFFF" w:val="clear"/>
            <w:tcMar>
              <w:top w:type="dxa" w:w="100"/>
              <w:left w:type="dxa" w:w="120"/>
              <w:bottom w:type="dxa" w:w="100"/>
              <w:right w:type="dxa" w:w="120"/>
            </w:tcMar>
            <w:vAlign w:val="center"/>
          </w:tcPr>
          <w:p>
            <w:pPr>
              <w:jc w:val="left"/>
            </w:pPr>
            <w:r>
              <w:rPr>
                <w:b/>
                <w:bCs/>
                <w:color w:val="1F3864"/>
                <w:sz w:val="20"/>
                <w:szCs w:val="20"/>
              </w:rPr>
              <w:t xml:space="preserve">Ideal Use Cases</w:t>
            </w:r>
          </w:p>
        </w:tc>
        <w:tc>
          <w:tcPr>
            <w:tcW w:type="dxa" w:w="41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Internal tools, workflow automation, MVPs, prototypes, and departmental applications.</w:t>
            </w:r>
          </w:p>
        </w:tc>
        <w:tc>
          <w:tcPr>
            <w:tcW w:type="dxa" w:w="41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Complex, large-scale, performance-critical, or highly customized enterprise applications.</w:t>
            </w:r>
          </w:p>
        </w:tc>
      </w:tr>
    </w:tbl>
    <w:p>
      <w:pPr>
        <w:spacing w:before="300"/>
      </w:pPr>
    </w:p>
    <w:p>
      <w:pPr>
        <w:pStyle w:val="Heading1"/>
        <w:pBdr>
          <w:bottom w:val="single" w:color="2E5C99" w:sz="8" w:space="4"/>
        </w:pBdr>
        <w:spacing w:after="200" w:before="400"/>
      </w:pPr>
      <w:r>
        <w:rPr>
          <w:b/>
          <w:bCs/>
          <w:color w:val="1F3864"/>
        </w:rPr>
        <w:t xml:space="preserve">6. Illustrative Comparative Scoring</w:t>
      </w:r>
    </w:p>
    <w:p>
      <w:pPr>
        <w:spacing w:after="200" w:line="300"/>
        <w:jc w:val="both"/>
      </w:pPr>
      <w:r>
        <w:rPr>
          <w:sz w:val="22"/>
          <w:szCs w:val="22"/>
        </w:rPr>
        <w:t xml:space="preserve">To provide a quick visual reference, the following table presents illustrative comparative ratings (on a scale of 1 to 10) across key evaluation criteria. These scores are intended as general guidance rather than absolute benchmarks, as actual outcomes vary by platform, project, and team maturity.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300"/>
        <w:gridCol w:w="2600"/>
        <w:gridCol w:w="2600"/>
      </w:tblGrid>
      <w:tr>
        <w:trPr>
          <w:tblHeader/>
        </w:trPr>
        <w:tc>
          <w:tcPr>
            <w:tcW w:type="dxa" w:w="4300"/>
            <w:shd w:fill="2E5C99" w:val="clear"/>
            <w:tcMar>
              <w:top w:type="dxa" w:w="100"/>
              <w:left w:type="dxa" w:w="120"/>
              <w:bottom w:type="dxa" w:w="100"/>
              <w:right w:type="dxa" w:w="120"/>
            </w:tcMar>
            <w:vAlign w:val="center"/>
          </w:tcPr>
          <w:p>
            <w:pPr>
              <w:jc w:val="left"/>
            </w:pPr>
            <w:r>
              <w:rPr>
                <w:b/>
                <w:bCs/>
                <w:color w:val="FFFFFF"/>
                <w:sz w:val="20"/>
                <w:szCs w:val="20"/>
              </w:rPr>
              <w:t xml:space="preserve">Evaluation Criterion</w:t>
            </w:r>
          </w:p>
        </w:tc>
        <w:tc>
          <w:tcPr>
            <w:tcW w:type="dxa" w:w="2600"/>
            <w:shd w:fill="2E5C99" w:val="clear"/>
            <w:tcMar>
              <w:top w:type="dxa" w:w="100"/>
              <w:left w:type="dxa" w:w="120"/>
              <w:bottom w:type="dxa" w:w="100"/>
              <w:right w:type="dxa" w:w="120"/>
            </w:tcMar>
            <w:vAlign w:val="center"/>
          </w:tcPr>
          <w:p>
            <w:pPr>
              <w:jc w:val="center"/>
            </w:pPr>
            <w:r>
              <w:rPr>
                <w:b/>
                <w:bCs/>
                <w:color w:val="FFFFFF"/>
                <w:sz w:val="20"/>
                <w:szCs w:val="20"/>
              </w:rPr>
              <w:t xml:space="preserve">Low-Code</w:t>
            </w:r>
          </w:p>
        </w:tc>
        <w:tc>
          <w:tcPr>
            <w:tcW w:type="dxa" w:w="2600"/>
            <w:shd w:fill="2E5C99" w:val="clear"/>
            <w:tcMar>
              <w:top w:type="dxa" w:w="100"/>
              <w:left w:type="dxa" w:w="120"/>
              <w:bottom w:type="dxa" w:w="100"/>
              <w:right w:type="dxa" w:w="120"/>
            </w:tcMar>
            <w:vAlign w:val="center"/>
          </w:tcPr>
          <w:p>
            <w:pPr>
              <w:jc w:val="center"/>
            </w:pPr>
            <w:r>
              <w:rPr>
                <w:b/>
                <w:bCs/>
                <w:color w:val="FFFFFF"/>
                <w:sz w:val="20"/>
                <w:szCs w:val="20"/>
              </w:rPr>
              <w:t xml:space="preserve">Traditional</w:t>
            </w:r>
          </w:p>
        </w:tc>
      </w:tr>
      <w:tr>
        <w:tc>
          <w:tcPr>
            <w:tcW w:type="dxa" w:w="4300"/>
            <w:shd w:fill="DCE6F1" w:val="clear"/>
            <w:tcMar>
              <w:top w:type="dxa" w:w="100"/>
              <w:left w:type="dxa" w:w="120"/>
              <w:bottom w:type="dxa" w:w="100"/>
              <w:right w:type="dxa" w:w="120"/>
            </w:tcMar>
            <w:vAlign w:val="center"/>
          </w:tcPr>
          <w:p>
            <w:pPr>
              <w:jc w:val="left"/>
            </w:pPr>
            <w:r>
              <w:rPr>
                <w:b/>
                <w:bCs/>
                <w:color w:val="000000"/>
                <w:sz w:val="20"/>
                <w:szCs w:val="20"/>
              </w:rPr>
              <w:t xml:space="preserve">Speed to Market</w:t>
            </w:r>
          </w:p>
        </w:tc>
        <w:tc>
          <w:tcPr>
            <w:tcW w:type="dxa" w:w="260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9 / 10</w:t>
            </w:r>
          </w:p>
        </w:tc>
        <w:tc>
          <w:tcPr>
            <w:tcW w:type="dxa" w:w="260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4 / 10</w:t>
            </w:r>
          </w:p>
        </w:tc>
      </w:tr>
      <w:tr>
        <w:tc>
          <w:tcPr>
            <w:tcW w:type="dxa" w:w="4300"/>
            <w:shd w:fill="FFFFFF" w:val="clear"/>
            <w:tcMar>
              <w:top w:type="dxa" w:w="100"/>
              <w:left w:type="dxa" w:w="120"/>
              <w:bottom w:type="dxa" w:w="100"/>
              <w:right w:type="dxa" w:w="120"/>
            </w:tcMar>
            <w:vAlign w:val="center"/>
          </w:tcPr>
          <w:p>
            <w:pPr>
              <w:jc w:val="left"/>
            </w:pPr>
            <w:r>
              <w:rPr>
                <w:b/>
                <w:bCs/>
                <w:color w:val="000000"/>
                <w:sz w:val="20"/>
                <w:szCs w:val="20"/>
              </w:rPr>
              <w:t xml:space="preserve">Cost Efficiency (short term)</w:t>
            </w:r>
          </w:p>
        </w:tc>
        <w:tc>
          <w:tcPr>
            <w:tcW w:type="dxa" w:w="2600"/>
            <w:shd w:fill="FFFFFF" w:val="clear"/>
            <w:tcMar>
              <w:top w:type="dxa" w:w="100"/>
              <w:left w:type="dxa" w:w="120"/>
              <w:bottom w:type="dxa" w:w="100"/>
              <w:right w:type="dxa" w:w="120"/>
            </w:tcMar>
            <w:vAlign w:val="center"/>
          </w:tcPr>
          <w:p>
            <w:pPr>
              <w:jc w:val="center"/>
            </w:pPr>
            <w:r>
              <w:rPr>
                <w:b w:val="false"/>
                <w:bCs w:val="false"/>
                <w:color w:val="000000"/>
                <w:sz w:val="20"/>
                <w:szCs w:val="20"/>
              </w:rPr>
              <w:t xml:space="preserve">8 / 10</w:t>
            </w:r>
          </w:p>
        </w:tc>
        <w:tc>
          <w:tcPr>
            <w:tcW w:type="dxa" w:w="2600"/>
            <w:shd w:fill="FFFFFF" w:val="clear"/>
            <w:tcMar>
              <w:top w:type="dxa" w:w="100"/>
              <w:left w:type="dxa" w:w="120"/>
              <w:bottom w:type="dxa" w:w="100"/>
              <w:right w:type="dxa" w:w="120"/>
            </w:tcMar>
            <w:vAlign w:val="center"/>
          </w:tcPr>
          <w:p>
            <w:pPr>
              <w:jc w:val="center"/>
            </w:pPr>
            <w:r>
              <w:rPr>
                <w:b w:val="false"/>
                <w:bCs w:val="false"/>
                <w:color w:val="000000"/>
                <w:sz w:val="20"/>
                <w:szCs w:val="20"/>
              </w:rPr>
              <w:t xml:space="preserve">5 / 10</w:t>
            </w:r>
          </w:p>
        </w:tc>
      </w:tr>
      <w:tr>
        <w:tc>
          <w:tcPr>
            <w:tcW w:type="dxa" w:w="4300"/>
            <w:shd w:fill="DCE6F1" w:val="clear"/>
            <w:tcMar>
              <w:top w:type="dxa" w:w="100"/>
              <w:left w:type="dxa" w:w="120"/>
              <w:bottom w:type="dxa" w:w="100"/>
              <w:right w:type="dxa" w:w="120"/>
            </w:tcMar>
            <w:vAlign w:val="center"/>
          </w:tcPr>
          <w:p>
            <w:pPr>
              <w:jc w:val="left"/>
            </w:pPr>
            <w:r>
              <w:rPr>
                <w:b/>
                <w:bCs/>
                <w:color w:val="000000"/>
                <w:sz w:val="20"/>
                <w:szCs w:val="20"/>
              </w:rPr>
              <w:t xml:space="preserve">Long-Term Flexibility</w:t>
            </w:r>
          </w:p>
        </w:tc>
        <w:tc>
          <w:tcPr>
            <w:tcW w:type="dxa" w:w="260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5 / 10</w:t>
            </w:r>
          </w:p>
        </w:tc>
        <w:tc>
          <w:tcPr>
            <w:tcW w:type="dxa" w:w="260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9 / 10</w:t>
            </w:r>
          </w:p>
        </w:tc>
      </w:tr>
      <w:tr>
        <w:tc>
          <w:tcPr>
            <w:tcW w:type="dxa" w:w="4300"/>
            <w:shd w:fill="FFFFFF" w:val="clear"/>
            <w:tcMar>
              <w:top w:type="dxa" w:w="100"/>
              <w:left w:type="dxa" w:w="120"/>
              <w:bottom w:type="dxa" w:w="100"/>
              <w:right w:type="dxa" w:w="120"/>
            </w:tcMar>
            <w:vAlign w:val="center"/>
          </w:tcPr>
          <w:p>
            <w:pPr>
              <w:jc w:val="left"/>
            </w:pPr>
            <w:r>
              <w:rPr>
                <w:b/>
                <w:bCs/>
                <w:color w:val="000000"/>
                <w:sz w:val="20"/>
                <w:szCs w:val="20"/>
              </w:rPr>
              <w:t xml:space="preserve">Scalability for Enterprise</w:t>
            </w:r>
          </w:p>
        </w:tc>
        <w:tc>
          <w:tcPr>
            <w:tcW w:type="dxa" w:w="2600"/>
            <w:shd w:fill="FFFFFF" w:val="clear"/>
            <w:tcMar>
              <w:top w:type="dxa" w:w="100"/>
              <w:left w:type="dxa" w:w="120"/>
              <w:bottom w:type="dxa" w:w="100"/>
              <w:right w:type="dxa" w:w="120"/>
            </w:tcMar>
            <w:vAlign w:val="center"/>
          </w:tcPr>
          <w:p>
            <w:pPr>
              <w:jc w:val="center"/>
            </w:pPr>
            <w:r>
              <w:rPr>
                <w:b w:val="false"/>
                <w:bCs w:val="false"/>
                <w:color w:val="000000"/>
                <w:sz w:val="20"/>
                <w:szCs w:val="20"/>
              </w:rPr>
              <w:t xml:space="preserve">6 / 10</w:t>
            </w:r>
          </w:p>
        </w:tc>
        <w:tc>
          <w:tcPr>
            <w:tcW w:type="dxa" w:w="2600"/>
            <w:shd w:fill="FFFFFF" w:val="clear"/>
            <w:tcMar>
              <w:top w:type="dxa" w:w="100"/>
              <w:left w:type="dxa" w:w="120"/>
              <w:bottom w:type="dxa" w:w="100"/>
              <w:right w:type="dxa" w:w="120"/>
            </w:tcMar>
            <w:vAlign w:val="center"/>
          </w:tcPr>
          <w:p>
            <w:pPr>
              <w:jc w:val="center"/>
            </w:pPr>
            <w:r>
              <w:rPr>
                <w:b w:val="false"/>
                <w:bCs w:val="false"/>
                <w:color w:val="000000"/>
                <w:sz w:val="20"/>
                <w:szCs w:val="20"/>
              </w:rPr>
              <w:t xml:space="preserve">9 / 10</w:t>
            </w:r>
          </w:p>
        </w:tc>
      </w:tr>
      <w:tr>
        <w:tc>
          <w:tcPr>
            <w:tcW w:type="dxa" w:w="4300"/>
            <w:shd w:fill="DCE6F1" w:val="clear"/>
            <w:tcMar>
              <w:top w:type="dxa" w:w="100"/>
              <w:left w:type="dxa" w:w="120"/>
              <w:bottom w:type="dxa" w:w="100"/>
              <w:right w:type="dxa" w:w="120"/>
            </w:tcMar>
            <w:vAlign w:val="center"/>
          </w:tcPr>
          <w:p>
            <w:pPr>
              <w:jc w:val="left"/>
            </w:pPr>
            <w:r>
              <w:rPr>
                <w:b/>
                <w:bCs/>
                <w:color w:val="000000"/>
                <w:sz w:val="20"/>
                <w:szCs w:val="20"/>
              </w:rPr>
              <w:t xml:space="preserve">Ease of Learning</w:t>
            </w:r>
          </w:p>
        </w:tc>
        <w:tc>
          <w:tcPr>
            <w:tcW w:type="dxa" w:w="260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9 / 10</w:t>
            </w:r>
          </w:p>
        </w:tc>
        <w:tc>
          <w:tcPr>
            <w:tcW w:type="dxa" w:w="260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4 / 10</w:t>
            </w:r>
          </w:p>
        </w:tc>
      </w:tr>
      <w:tr>
        <w:tc>
          <w:tcPr>
            <w:tcW w:type="dxa" w:w="4300"/>
            <w:shd w:fill="FFFFFF" w:val="clear"/>
            <w:tcMar>
              <w:top w:type="dxa" w:w="100"/>
              <w:left w:type="dxa" w:w="120"/>
              <w:bottom w:type="dxa" w:w="100"/>
              <w:right w:type="dxa" w:w="120"/>
            </w:tcMar>
            <w:vAlign w:val="center"/>
          </w:tcPr>
          <w:p>
            <w:pPr>
              <w:jc w:val="left"/>
            </w:pPr>
            <w:r>
              <w:rPr>
                <w:b/>
                <w:bCs/>
                <w:color w:val="000000"/>
                <w:sz w:val="20"/>
                <w:szCs w:val="20"/>
              </w:rPr>
              <w:t xml:space="preserve">Customization Depth</w:t>
            </w:r>
          </w:p>
        </w:tc>
        <w:tc>
          <w:tcPr>
            <w:tcW w:type="dxa" w:w="2600"/>
            <w:shd w:fill="FFFFFF" w:val="clear"/>
            <w:tcMar>
              <w:top w:type="dxa" w:w="100"/>
              <w:left w:type="dxa" w:w="120"/>
              <w:bottom w:type="dxa" w:w="100"/>
              <w:right w:type="dxa" w:w="120"/>
            </w:tcMar>
            <w:vAlign w:val="center"/>
          </w:tcPr>
          <w:p>
            <w:pPr>
              <w:jc w:val="center"/>
            </w:pPr>
            <w:r>
              <w:rPr>
                <w:b w:val="false"/>
                <w:bCs w:val="false"/>
                <w:color w:val="000000"/>
                <w:sz w:val="20"/>
                <w:szCs w:val="20"/>
              </w:rPr>
              <w:t xml:space="preserve">5 / 10</w:t>
            </w:r>
          </w:p>
        </w:tc>
        <w:tc>
          <w:tcPr>
            <w:tcW w:type="dxa" w:w="2600"/>
            <w:shd w:fill="FFFFFF" w:val="clear"/>
            <w:tcMar>
              <w:top w:type="dxa" w:w="100"/>
              <w:left w:type="dxa" w:w="120"/>
              <w:bottom w:type="dxa" w:w="100"/>
              <w:right w:type="dxa" w:w="120"/>
            </w:tcMar>
            <w:vAlign w:val="center"/>
          </w:tcPr>
          <w:p>
            <w:pPr>
              <w:jc w:val="center"/>
            </w:pPr>
            <w:r>
              <w:rPr>
                <w:b w:val="false"/>
                <w:bCs w:val="false"/>
                <w:color w:val="000000"/>
                <w:sz w:val="20"/>
                <w:szCs w:val="20"/>
              </w:rPr>
              <w:t xml:space="preserve">10 / 10</w:t>
            </w:r>
          </w:p>
        </w:tc>
      </w:tr>
      <w:tr>
        <w:tc>
          <w:tcPr>
            <w:tcW w:type="dxa" w:w="4300"/>
            <w:shd w:fill="DCE6F1" w:val="clear"/>
            <w:tcMar>
              <w:top w:type="dxa" w:w="100"/>
              <w:left w:type="dxa" w:w="120"/>
              <w:bottom w:type="dxa" w:w="100"/>
              <w:right w:type="dxa" w:w="120"/>
            </w:tcMar>
            <w:vAlign w:val="center"/>
          </w:tcPr>
          <w:p>
            <w:pPr>
              <w:jc w:val="left"/>
            </w:pPr>
            <w:r>
              <w:rPr>
                <w:b/>
                <w:bCs/>
                <w:color w:val="000000"/>
                <w:sz w:val="20"/>
                <w:szCs w:val="20"/>
              </w:rPr>
              <w:t xml:space="preserve">Security Control</w:t>
            </w:r>
          </w:p>
        </w:tc>
        <w:tc>
          <w:tcPr>
            <w:tcW w:type="dxa" w:w="260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6 / 10</w:t>
            </w:r>
          </w:p>
        </w:tc>
        <w:tc>
          <w:tcPr>
            <w:tcW w:type="dxa" w:w="2600"/>
            <w:shd w:fill="DCE6F1" w:val="clear"/>
            <w:tcMar>
              <w:top w:type="dxa" w:w="100"/>
              <w:left w:type="dxa" w:w="120"/>
              <w:bottom w:type="dxa" w:w="100"/>
              <w:right w:type="dxa" w:w="120"/>
            </w:tcMar>
            <w:vAlign w:val="center"/>
          </w:tcPr>
          <w:p>
            <w:pPr>
              <w:jc w:val="center"/>
            </w:pPr>
            <w:r>
              <w:rPr>
                <w:b w:val="false"/>
                <w:bCs w:val="false"/>
                <w:color w:val="000000"/>
                <w:sz w:val="20"/>
                <w:szCs w:val="20"/>
              </w:rPr>
              <w:t xml:space="preserve">9 / 10</w:t>
            </w:r>
          </w:p>
        </w:tc>
      </w:tr>
      <w:tr>
        <w:tc>
          <w:tcPr>
            <w:tcW w:type="dxa" w:w="4300"/>
            <w:shd w:fill="FFFFFF" w:val="clear"/>
            <w:tcMar>
              <w:top w:type="dxa" w:w="100"/>
              <w:left w:type="dxa" w:w="120"/>
              <w:bottom w:type="dxa" w:w="100"/>
              <w:right w:type="dxa" w:w="120"/>
            </w:tcMar>
            <w:vAlign w:val="center"/>
          </w:tcPr>
          <w:p>
            <w:pPr>
              <w:jc w:val="left"/>
            </w:pPr>
            <w:r>
              <w:rPr>
                <w:b/>
                <w:bCs/>
                <w:color w:val="000000"/>
                <w:sz w:val="20"/>
                <w:szCs w:val="20"/>
              </w:rPr>
              <w:t xml:space="preserve">Long-Term Maintainability</w:t>
            </w:r>
          </w:p>
        </w:tc>
        <w:tc>
          <w:tcPr>
            <w:tcW w:type="dxa" w:w="2600"/>
            <w:shd w:fill="FFFFFF" w:val="clear"/>
            <w:tcMar>
              <w:top w:type="dxa" w:w="100"/>
              <w:left w:type="dxa" w:w="120"/>
              <w:bottom w:type="dxa" w:w="100"/>
              <w:right w:type="dxa" w:w="120"/>
            </w:tcMar>
            <w:vAlign w:val="center"/>
          </w:tcPr>
          <w:p>
            <w:pPr>
              <w:jc w:val="center"/>
            </w:pPr>
            <w:r>
              <w:rPr>
                <w:b w:val="false"/>
                <w:bCs w:val="false"/>
                <w:color w:val="000000"/>
                <w:sz w:val="20"/>
                <w:szCs w:val="20"/>
              </w:rPr>
              <w:t xml:space="preserve">6 / 10</w:t>
            </w:r>
          </w:p>
        </w:tc>
        <w:tc>
          <w:tcPr>
            <w:tcW w:type="dxa" w:w="2600"/>
            <w:shd w:fill="FFFFFF" w:val="clear"/>
            <w:tcMar>
              <w:top w:type="dxa" w:w="100"/>
              <w:left w:type="dxa" w:w="120"/>
              <w:bottom w:type="dxa" w:w="100"/>
              <w:right w:type="dxa" w:w="120"/>
            </w:tcMar>
            <w:vAlign w:val="center"/>
          </w:tcPr>
          <w:p>
            <w:pPr>
              <w:jc w:val="center"/>
            </w:pPr>
            <w:r>
              <w:rPr>
                <w:b w:val="false"/>
                <w:bCs w:val="false"/>
                <w:color w:val="000000"/>
                <w:sz w:val="20"/>
                <w:szCs w:val="20"/>
              </w:rPr>
              <w:t xml:space="preserve">8 / 10</w:t>
            </w:r>
          </w:p>
        </w:tc>
      </w:tr>
    </w:tbl>
    <w:p>
      <w:r>
        <w:br w:type="page"/>
      </w:r>
    </w:p>
    <w:p>
      <w:pPr>
        <w:pStyle w:val="Heading1"/>
        <w:pBdr>
          <w:bottom w:val="single" w:color="2E5C99" w:sz="8" w:space="4"/>
        </w:pBdr>
        <w:spacing w:after="200" w:before="400"/>
      </w:pPr>
      <w:r>
        <w:rPr>
          <w:b/>
          <w:bCs/>
          <w:color w:val="1F3864"/>
        </w:rPr>
        <w:t xml:space="preserve">7. Advantages and Disadvantages</w:t>
      </w:r>
    </w:p>
    <w:p>
      <w:pPr>
        <w:pStyle w:val="Heading2"/>
        <w:spacing w:after="150" w:before="300"/>
      </w:pPr>
      <w:r>
        <w:rPr>
          <w:b/>
          <w:bCs/>
          <w:color w:val="2E5C99"/>
        </w:rPr>
        <w:t xml:space="preserve">7.1 Low-Code Development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375623" w:val="clear"/>
            <w:tcMar>
              <w:top w:type="dxa" w:w="100"/>
              <w:left w:type="dxa" w:w="120"/>
              <w:bottom w:type="dxa" w:w="100"/>
              <w:right w:type="dxa" w:w="120"/>
            </w:tcMar>
            <w:vAlign w:val="center"/>
          </w:tcPr>
          <w:p>
            <w:pPr>
              <w:jc w:val="left"/>
            </w:pPr>
            <w:r>
              <w:rPr>
                <w:b/>
                <w:bCs/>
                <w:color w:val="FFFFFF"/>
                <w:sz w:val="20"/>
                <w:szCs w:val="20"/>
              </w:rPr>
              <w:t xml:space="preserve">Advantages</w:t>
            </w:r>
          </w:p>
        </w:tc>
        <w:tc>
          <w:tcPr>
            <w:tcW w:type="dxa" w:w="4750"/>
            <w:shd w:fill="C00000" w:val="clear"/>
            <w:tcMar>
              <w:top w:type="dxa" w:w="100"/>
              <w:left w:type="dxa" w:w="120"/>
              <w:bottom w:type="dxa" w:w="100"/>
              <w:right w:type="dxa" w:w="120"/>
            </w:tcMar>
            <w:vAlign w:val="center"/>
          </w:tcPr>
          <w:p>
            <w:pPr>
              <w:jc w:val="left"/>
            </w:pPr>
            <w:r>
              <w:rPr>
                <w:b/>
                <w:bCs/>
                <w:color w:val="FFFFFF"/>
                <w:sz w:val="20"/>
                <w:szCs w:val="20"/>
              </w:rPr>
              <w:t xml:space="preserve">Disadvantages</w:t>
            </w:r>
          </w:p>
        </w:tc>
      </w:tr>
      <w:tr>
        <w:tc>
          <w:tcPr>
            <w:tcW w:type="dxa" w:w="4750"/>
            <w:shd w:fill="E2EFDA" w:val="clear"/>
            <w:tcMar>
              <w:top w:type="dxa" w:w="150"/>
              <w:left w:type="dxa" w:w="150"/>
              <w:bottom w:type="dxa" w:w="150"/>
              <w:right w:type="dxa" w:w="150"/>
            </w:tcMar>
          </w:tcPr>
          <w:p>
            <w:pPr>
              <w:pStyle w:val="ListParagraph"/>
              <w:numPr>
                <w:ilvl w:val="0"/>
                <w:numId w:val="2"/>
              </w:numPr>
              <w:spacing w:after="100"/>
            </w:pPr>
            <w:r>
              <w:rPr>
                <w:sz w:val="20"/>
                <w:szCs w:val="20"/>
              </w:rPr>
              <w:t xml:space="preserve">Dramatically faster development and deployment cycles.</w:t>
            </w:r>
          </w:p>
          <w:p>
            <w:pPr>
              <w:pStyle w:val="ListParagraph"/>
              <w:numPr>
                <w:ilvl w:val="0"/>
                <w:numId w:val="2"/>
              </w:numPr>
              <w:spacing w:after="100"/>
            </w:pPr>
            <w:r>
              <w:rPr>
                <w:sz w:val="20"/>
                <w:szCs w:val="20"/>
              </w:rPr>
              <w:t xml:space="preserve">Lowers the barrier to entry, empowering citizen developers.</w:t>
            </w:r>
          </w:p>
          <w:p>
            <w:pPr>
              <w:pStyle w:val="ListParagraph"/>
              <w:numPr>
                <w:ilvl w:val="0"/>
                <w:numId w:val="2"/>
              </w:numPr>
              <w:spacing w:after="100"/>
            </w:pPr>
            <w:r>
              <w:rPr>
                <w:sz w:val="20"/>
                <w:szCs w:val="20"/>
              </w:rPr>
              <w:t xml:space="preserve">Reduces dependency on scarce, expensive engineering talent.</w:t>
            </w:r>
          </w:p>
          <w:p>
            <w:pPr>
              <w:pStyle w:val="ListParagraph"/>
              <w:numPr>
                <w:ilvl w:val="0"/>
                <w:numId w:val="2"/>
              </w:numPr>
              <w:spacing w:after="100"/>
            </w:pPr>
            <w:r>
              <w:rPr>
                <w:sz w:val="20"/>
                <w:szCs w:val="20"/>
              </w:rPr>
              <w:t xml:space="preserve">Built-in governance, version control, and deployment pipelines.</w:t>
            </w:r>
          </w:p>
          <w:p>
            <w:pPr>
              <w:pStyle w:val="ListParagraph"/>
              <w:numPr>
                <w:ilvl w:val="0"/>
                <w:numId w:val="2"/>
              </w:numPr>
              <w:spacing w:after="100"/>
            </w:pPr>
            <w:r>
              <w:rPr>
                <w:sz w:val="20"/>
                <w:szCs w:val="20"/>
              </w:rPr>
              <w:t xml:space="preserve">Rapid prototyping enables faster feedback and iteration.</w:t>
            </w:r>
          </w:p>
          <w:p>
            <w:pPr>
              <w:pStyle w:val="ListParagraph"/>
              <w:numPr>
                <w:ilvl w:val="0"/>
                <w:numId w:val="2"/>
              </w:numPr>
              <w:spacing w:after="100"/>
            </w:pPr>
            <w:r>
              <w:rPr>
                <w:sz w:val="20"/>
                <w:szCs w:val="20"/>
              </w:rPr>
              <w:t xml:space="preserve">Lower total cost of ownership for simple to moderate applications.</w:t>
            </w:r>
          </w:p>
        </w:tc>
        <w:tc>
          <w:tcPr>
            <w:tcW w:type="dxa" w:w="4750"/>
            <w:shd w:fill="FCE4E4" w:val="clear"/>
            <w:tcMar>
              <w:top w:type="dxa" w:w="150"/>
              <w:left w:type="dxa" w:w="150"/>
              <w:bottom w:type="dxa" w:w="150"/>
              <w:right w:type="dxa" w:w="150"/>
            </w:tcMar>
          </w:tcPr>
          <w:p>
            <w:pPr>
              <w:pStyle w:val="ListParagraph"/>
              <w:numPr>
                <w:ilvl w:val="0"/>
                <w:numId w:val="2"/>
              </w:numPr>
              <w:spacing w:after="100"/>
            </w:pPr>
            <w:r>
              <w:rPr>
                <w:sz w:val="20"/>
                <w:szCs w:val="20"/>
              </w:rPr>
              <w:t xml:space="preserve">Limited flexibility for highly specialized or complex logic.</w:t>
            </w:r>
          </w:p>
          <w:p>
            <w:pPr>
              <w:pStyle w:val="ListParagraph"/>
              <w:numPr>
                <w:ilvl w:val="0"/>
                <w:numId w:val="2"/>
              </w:numPr>
              <w:spacing w:after="100"/>
            </w:pPr>
            <w:r>
              <w:rPr>
                <w:sz w:val="20"/>
                <w:szCs w:val="20"/>
              </w:rPr>
              <w:t xml:space="preserve">Potential vendor lock-in and migration difficulty.</w:t>
            </w:r>
          </w:p>
          <w:p>
            <w:pPr>
              <w:pStyle w:val="ListParagraph"/>
              <w:numPr>
                <w:ilvl w:val="0"/>
                <w:numId w:val="2"/>
              </w:numPr>
              <w:spacing w:after="100"/>
            </w:pPr>
            <w:r>
              <w:rPr>
                <w:sz w:val="20"/>
                <w:szCs w:val="20"/>
              </w:rPr>
              <w:t xml:space="preserve">Performance may lag for high-volume or compute-intensive tasks.</w:t>
            </w:r>
          </w:p>
          <w:p>
            <w:pPr>
              <w:pStyle w:val="ListParagraph"/>
              <w:numPr>
                <w:ilvl w:val="0"/>
                <w:numId w:val="2"/>
              </w:numPr>
              <w:spacing w:after="100"/>
            </w:pPr>
            <w:r>
              <w:rPr>
                <w:sz w:val="20"/>
                <w:szCs w:val="20"/>
              </w:rPr>
              <w:t xml:space="preserve">Less granular control over security and architecture.</w:t>
            </w:r>
          </w:p>
          <w:p>
            <w:pPr>
              <w:pStyle w:val="ListParagraph"/>
              <w:numPr>
                <w:ilvl w:val="0"/>
                <w:numId w:val="2"/>
              </w:numPr>
              <w:spacing w:after="100"/>
            </w:pPr>
            <w:r>
              <w:rPr>
                <w:sz w:val="20"/>
                <w:szCs w:val="20"/>
              </w:rPr>
              <w:t xml:space="preserve">Platform licensing costs can scale unfavorably with usage.</w:t>
            </w:r>
          </w:p>
          <w:p>
            <w:pPr>
              <w:pStyle w:val="ListParagraph"/>
              <w:numPr>
                <w:ilvl w:val="0"/>
                <w:numId w:val="2"/>
              </w:numPr>
              <w:spacing w:after="100"/>
            </w:pPr>
            <w:r>
              <w:rPr>
                <w:sz w:val="20"/>
                <w:szCs w:val="20"/>
              </w:rPr>
              <w:t xml:space="preserve">Debugging abstracted visual logic can be less transparent.</w:t>
            </w:r>
          </w:p>
        </w:tc>
      </w:tr>
    </w:tbl>
    <w:p>
      <w:pPr>
        <w:spacing w:before="300"/>
      </w:pPr>
    </w:p>
    <w:p>
      <w:pPr>
        <w:pStyle w:val="Heading2"/>
        <w:spacing w:after="150" w:before="300"/>
      </w:pPr>
      <w:r>
        <w:rPr>
          <w:b/>
          <w:bCs/>
          <w:color w:val="2E5C99"/>
        </w:rPr>
        <w:t xml:space="preserve">7.2 Traditional Development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375623" w:val="clear"/>
            <w:tcMar>
              <w:top w:type="dxa" w:w="100"/>
              <w:left w:type="dxa" w:w="120"/>
              <w:bottom w:type="dxa" w:w="100"/>
              <w:right w:type="dxa" w:w="120"/>
            </w:tcMar>
            <w:vAlign w:val="center"/>
          </w:tcPr>
          <w:p>
            <w:pPr>
              <w:jc w:val="left"/>
            </w:pPr>
            <w:r>
              <w:rPr>
                <w:b/>
                <w:bCs/>
                <w:color w:val="FFFFFF"/>
                <w:sz w:val="20"/>
                <w:szCs w:val="20"/>
              </w:rPr>
              <w:t xml:space="preserve">Advantages</w:t>
            </w:r>
          </w:p>
        </w:tc>
        <w:tc>
          <w:tcPr>
            <w:tcW w:type="dxa" w:w="4750"/>
            <w:shd w:fill="C00000" w:val="clear"/>
            <w:tcMar>
              <w:top w:type="dxa" w:w="100"/>
              <w:left w:type="dxa" w:w="120"/>
              <w:bottom w:type="dxa" w:w="100"/>
              <w:right w:type="dxa" w:w="120"/>
            </w:tcMar>
            <w:vAlign w:val="center"/>
          </w:tcPr>
          <w:p>
            <w:pPr>
              <w:jc w:val="left"/>
            </w:pPr>
            <w:r>
              <w:rPr>
                <w:b/>
                <w:bCs/>
                <w:color w:val="FFFFFF"/>
                <w:sz w:val="20"/>
                <w:szCs w:val="20"/>
              </w:rPr>
              <w:t xml:space="preserve">Disadvantages</w:t>
            </w:r>
          </w:p>
        </w:tc>
      </w:tr>
      <w:tr>
        <w:tc>
          <w:tcPr>
            <w:tcW w:type="dxa" w:w="4750"/>
            <w:shd w:fill="E2EFDA" w:val="clear"/>
            <w:tcMar>
              <w:top w:type="dxa" w:w="150"/>
              <w:left w:type="dxa" w:w="150"/>
              <w:bottom w:type="dxa" w:w="150"/>
              <w:right w:type="dxa" w:w="150"/>
            </w:tcMar>
          </w:tcPr>
          <w:p>
            <w:pPr>
              <w:pStyle w:val="ListParagraph"/>
              <w:numPr>
                <w:ilvl w:val="0"/>
                <w:numId w:val="2"/>
              </w:numPr>
              <w:spacing w:after="100"/>
            </w:pPr>
            <w:r>
              <w:rPr>
                <w:sz w:val="20"/>
                <w:szCs w:val="20"/>
              </w:rPr>
              <w:t xml:space="preserve">Complete control over architecture, performance, and design.</w:t>
            </w:r>
          </w:p>
          <w:p>
            <w:pPr>
              <w:pStyle w:val="ListParagraph"/>
              <w:numPr>
                <w:ilvl w:val="0"/>
                <w:numId w:val="2"/>
              </w:numPr>
              <w:spacing w:after="100"/>
            </w:pPr>
            <w:r>
              <w:rPr>
                <w:sz w:val="20"/>
                <w:szCs w:val="20"/>
              </w:rPr>
              <w:t xml:space="preserve">Unlimited customization to meet unique business requirements.</w:t>
            </w:r>
          </w:p>
          <w:p>
            <w:pPr>
              <w:pStyle w:val="ListParagraph"/>
              <w:numPr>
                <w:ilvl w:val="0"/>
                <w:numId w:val="2"/>
              </w:numPr>
              <w:spacing w:after="100"/>
            </w:pPr>
            <w:r>
              <w:rPr>
                <w:sz w:val="20"/>
                <w:szCs w:val="20"/>
              </w:rPr>
              <w:t xml:space="preserve">Better suited to complex, large-scale, mission-critical systems.</w:t>
            </w:r>
          </w:p>
          <w:p>
            <w:pPr>
              <w:pStyle w:val="ListParagraph"/>
              <w:numPr>
                <w:ilvl w:val="0"/>
                <w:numId w:val="2"/>
              </w:numPr>
              <w:spacing w:after="100"/>
            </w:pPr>
            <w:r>
              <w:rPr>
                <w:sz w:val="20"/>
                <w:szCs w:val="20"/>
              </w:rPr>
              <w:t xml:space="preserve">No proprietary platform dependency; full code ownership.</w:t>
            </w:r>
          </w:p>
          <w:p>
            <w:pPr>
              <w:pStyle w:val="ListParagraph"/>
              <w:numPr>
                <w:ilvl w:val="0"/>
                <w:numId w:val="2"/>
              </w:numPr>
              <w:spacing w:after="100"/>
            </w:pPr>
            <w:r>
              <w:rPr>
                <w:sz w:val="20"/>
                <w:szCs w:val="20"/>
              </w:rPr>
              <w:t xml:space="preserve">Mature ecosystem of tools, frameworks, and best practices.</w:t>
            </w:r>
          </w:p>
          <w:p>
            <w:pPr>
              <w:pStyle w:val="ListParagraph"/>
              <w:numPr>
                <w:ilvl w:val="0"/>
                <w:numId w:val="2"/>
              </w:numPr>
              <w:spacing w:after="100"/>
            </w:pPr>
            <w:r>
              <w:rPr>
                <w:sz w:val="20"/>
                <w:szCs w:val="20"/>
              </w:rPr>
              <w:t xml:space="preserve">Easier to optimize for performance and advanced security needs.</w:t>
            </w:r>
          </w:p>
        </w:tc>
        <w:tc>
          <w:tcPr>
            <w:tcW w:type="dxa" w:w="4750"/>
            <w:shd w:fill="FCE4E4" w:val="clear"/>
            <w:tcMar>
              <w:top w:type="dxa" w:w="150"/>
              <w:left w:type="dxa" w:w="150"/>
              <w:bottom w:type="dxa" w:w="150"/>
              <w:right w:type="dxa" w:w="150"/>
            </w:tcMar>
          </w:tcPr>
          <w:p>
            <w:pPr>
              <w:pStyle w:val="ListParagraph"/>
              <w:numPr>
                <w:ilvl w:val="0"/>
                <w:numId w:val="2"/>
              </w:numPr>
              <w:spacing w:after="100"/>
            </w:pPr>
            <w:r>
              <w:rPr>
                <w:sz w:val="20"/>
                <w:szCs w:val="20"/>
              </w:rPr>
              <w:t xml:space="preserve">Longer development timelines and higher upfront investment.</w:t>
            </w:r>
          </w:p>
          <w:p>
            <w:pPr>
              <w:pStyle w:val="ListParagraph"/>
              <w:numPr>
                <w:ilvl w:val="0"/>
                <w:numId w:val="2"/>
              </w:numPr>
              <w:spacing w:after="100"/>
            </w:pPr>
            <w:r>
              <w:rPr>
                <w:sz w:val="20"/>
                <w:szCs w:val="20"/>
              </w:rPr>
              <w:t xml:space="preserve">Requires larger teams of skilled, often costly, developers.</w:t>
            </w:r>
          </w:p>
          <w:p>
            <w:pPr>
              <w:pStyle w:val="ListParagraph"/>
              <w:numPr>
                <w:ilvl w:val="0"/>
                <w:numId w:val="2"/>
              </w:numPr>
              <w:spacing w:after="100"/>
            </w:pPr>
            <w:r>
              <w:rPr>
                <w:sz w:val="20"/>
                <w:szCs w:val="20"/>
              </w:rPr>
              <w:t xml:space="preserve">Higher long-term maintenance and technical debt burden.</w:t>
            </w:r>
          </w:p>
          <w:p>
            <w:pPr>
              <w:pStyle w:val="ListParagraph"/>
              <w:numPr>
                <w:ilvl w:val="0"/>
                <w:numId w:val="2"/>
              </w:numPr>
              <w:spacing w:after="100"/>
            </w:pPr>
            <w:r>
              <w:rPr>
                <w:sz w:val="20"/>
                <w:szCs w:val="20"/>
              </w:rPr>
              <w:t xml:space="preserve">Slower response to changing business requirements.</w:t>
            </w:r>
          </w:p>
          <w:p>
            <w:pPr>
              <w:pStyle w:val="ListParagraph"/>
              <w:numPr>
                <w:ilvl w:val="0"/>
                <w:numId w:val="2"/>
              </w:numPr>
              <w:spacing w:after="100"/>
            </w:pPr>
            <w:r>
              <w:rPr>
                <w:sz w:val="20"/>
                <w:szCs w:val="20"/>
              </w:rPr>
              <w:t xml:space="preserve">Higher risk of project delays and budget overruns.</w:t>
            </w:r>
          </w:p>
          <w:p>
            <w:pPr>
              <w:pStyle w:val="ListParagraph"/>
              <w:numPr>
                <w:ilvl w:val="0"/>
                <w:numId w:val="2"/>
              </w:numPr>
              <w:spacing w:after="100"/>
            </w:pPr>
            <w:r>
              <w:rPr>
                <w:sz w:val="20"/>
                <w:szCs w:val="20"/>
              </w:rPr>
              <w:t xml:space="preserve">Steeper learning curve for new team members.</w:t>
            </w:r>
          </w:p>
        </w:tc>
      </w:tr>
    </w:tbl>
    <w:p>
      <w:r>
        <w:br w:type="page"/>
      </w:r>
    </w:p>
    <w:p>
      <w:pPr>
        <w:pStyle w:val="Heading1"/>
        <w:pBdr>
          <w:bottom w:val="single" w:color="2E5C99" w:sz="8" w:space="4"/>
        </w:pBdr>
        <w:spacing w:after="200" w:before="400"/>
      </w:pPr>
      <w:r>
        <w:rPr>
          <w:b/>
          <w:bCs/>
          <w:color w:val="1F3864"/>
        </w:rPr>
        <w:t xml:space="preserve">8. When to Choose Each Approach</w:t>
      </w:r>
    </w:p>
    <w:p>
      <w:pPr>
        <w:pStyle w:val="Heading2"/>
        <w:spacing w:after="150" w:before="300"/>
      </w:pPr>
      <w:r>
        <w:rPr>
          <w:b/>
          <w:bCs/>
          <w:color w:val="2E5C99"/>
        </w:rPr>
        <w:t xml:space="preserve">8.1 Choose Low-Code When...</w:t>
      </w:r>
    </w:p>
    <w:p>
      <w:pPr>
        <w:pStyle w:val="ListParagraph"/>
        <w:numPr>
          <w:ilvl w:val="0"/>
          <w:numId w:val="2"/>
        </w:numPr>
        <w:spacing w:after="120" w:line="280"/>
      </w:pPr>
      <w:r>
        <w:rPr>
          <w:sz w:val="22"/>
          <w:szCs w:val="22"/>
        </w:rPr>
        <w:t xml:space="preserve">The project has a tight deadline and requires rapid delivery.</w:t>
      </w:r>
    </w:p>
    <w:p>
      <w:pPr>
        <w:pStyle w:val="ListParagraph"/>
        <w:numPr>
          <w:ilvl w:val="0"/>
          <w:numId w:val="2"/>
        </w:numPr>
        <w:spacing w:after="120" w:line="280"/>
      </w:pPr>
      <w:r>
        <w:rPr>
          <w:sz w:val="22"/>
          <w:szCs w:val="22"/>
        </w:rPr>
        <w:t xml:space="preserve">The application is an internal tool, workflow automation, or MVP.</w:t>
      </w:r>
    </w:p>
    <w:p>
      <w:pPr>
        <w:pStyle w:val="ListParagraph"/>
        <w:numPr>
          <w:ilvl w:val="0"/>
          <w:numId w:val="2"/>
        </w:numPr>
        <w:spacing w:after="120" w:line="280"/>
      </w:pPr>
      <w:r>
        <w:rPr>
          <w:sz w:val="22"/>
          <w:szCs w:val="22"/>
        </w:rPr>
        <w:t xml:space="preserve">The team has limited access to professional software engineers.</w:t>
      </w:r>
    </w:p>
    <w:p>
      <w:pPr>
        <w:pStyle w:val="ListParagraph"/>
        <w:numPr>
          <w:ilvl w:val="0"/>
          <w:numId w:val="2"/>
        </w:numPr>
        <w:spacing w:after="120" w:line="280"/>
      </w:pPr>
      <w:r>
        <w:rPr>
          <w:sz w:val="22"/>
          <w:szCs w:val="22"/>
        </w:rPr>
        <w:t xml:space="preserve">Requirements are relatively standard and well-supported by existing templates.</w:t>
      </w:r>
    </w:p>
    <w:p>
      <w:pPr>
        <w:pStyle w:val="ListParagraph"/>
        <w:numPr>
          <w:ilvl w:val="0"/>
          <w:numId w:val="2"/>
        </w:numPr>
        <w:spacing w:after="120" w:line="280"/>
      </w:pPr>
      <w:r>
        <w:rPr>
          <w:sz w:val="22"/>
          <w:szCs w:val="22"/>
        </w:rPr>
        <w:t xml:space="preserve">Budget constraints favor lower upfront development costs.</w:t>
      </w:r>
    </w:p>
    <w:p>
      <w:pPr>
        <w:pStyle w:val="Heading2"/>
        <w:spacing w:after="150" w:before="300"/>
      </w:pPr>
      <w:r>
        <w:rPr>
          <w:b/>
          <w:bCs/>
          <w:color w:val="2E5C99"/>
        </w:rPr>
        <w:t xml:space="preserve">8.2 Choose Traditional Development When...</w:t>
      </w:r>
    </w:p>
    <w:p>
      <w:pPr>
        <w:pStyle w:val="ListParagraph"/>
        <w:numPr>
          <w:ilvl w:val="0"/>
          <w:numId w:val="2"/>
        </w:numPr>
        <w:spacing w:after="120" w:line="280"/>
      </w:pPr>
      <w:r>
        <w:rPr>
          <w:sz w:val="22"/>
          <w:szCs w:val="22"/>
        </w:rPr>
        <w:t xml:space="preserve">The application requires deep customization or unique business logic.</w:t>
      </w:r>
    </w:p>
    <w:p>
      <w:pPr>
        <w:pStyle w:val="ListParagraph"/>
        <w:numPr>
          <w:ilvl w:val="0"/>
          <w:numId w:val="2"/>
        </w:numPr>
        <w:spacing w:after="120" w:line="280"/>
      </w:pPr>
      <w:r>
        <w:rPr>
          <w:sz w:val="22"/>
          <w:szCs w:val="22"/>
        </w:rPr>
        <w:t xml:space="preserve">The system must scale to high transaction volumes or large user bases.</w:t>
      </w:r>
    </w:p>
    <w:p>
      <w:pPr>
        <w:pStyle w:val="ListParagraph"/>
        <w:numPr>
          <w:ilvl w:val="0"/>
          <w:numId w:val="2"/>
        </w:numPr>
        <w:spacing w:after="120" w:line="280"/>
      </w:pPr>
      <w:r>
        <w:rPr>
          <w:sz w:val="22"/>
          <w:szCs w:val="22"/>
        </w:rPr>
        <w:t xml:space="preserve">Strict security, compliance, or regulatory requirements demand full control.</w:t>
      </w:r>
    </w:p>
    <w:p>
      <w:pPr>
        <w:pStyle w:val="ListParagraph"/>
        <w:numPr>
          <w:ilvl w:val="0"/>
          <w:numId w:val="2"/>
        </w:numPr>
        <w:spacing w:after="120" w:line="280"/>
      </w:pPr>
      <w:r>
        <w:rPr>
          <w:sz w:val="22"/>
          <w:szCs w:val="22"/>
        </w:rPr>
        <w:t xml:space="preserve">The project is mission-critical and central to long-term competitive advantage.</w:t>
      </w:r>
    </w:p>
    <w:p>
      <w:pPr>
        <w:pStyle w:val="ListParagraph"/>
        <w:numPr>
          <w:ilvl w:val="0"/>
          <w:numId w:val="2"/>
        </w:numPr>
        <w:spacing w:after="120" w:line="280"/>
      </w:pPr>
      <w:r>
        <w:rPr>
          <w:sz w:val="22"/>
          <w:szCs w:val="22"/>
        </w:rPr>
        <w:t xml:space="preserve">Long-term maintainability and independence from vendor platforms is a priority.</w:t>
      </w:r>
    </w:p>
    <w:p>
      <w:pPr>
        <w:pStyle w:val="Heading2"/>
        <w:spacing w:after="150" w:before="300"/>
      </w:pPr>
      <w:r>
        <w:rPr>
          <w:b/>
          <w:bCs/>
          <w:color w:val="2E5C99"/>
        </w:rPr>
        <w:t xml:space="preserve">8.3 The Hybrid Approach</w:t>
      </w:r>
    </w:p>
    <w:p>
      <w:pPr>
        <w:spacing w:after="200" w:line="300"/>
        <w:jc w:val="both"/>
      </w:pPr>
      <w:r>
        <w:rPr>
          <w:sz w:val="22"/>
          <w:szCs w:val="22"/>
        </w:rPr>
        <w:t xml:space="preserve">Many organizations adopt a hybrid strategy — using low-code platforms for internal tools, prototypes, and departmental applications, while relying on traditional development for core, customer-facing, or mission-critical systems. This blended approach allows organizations to balance speed and agility with the control and scalability that complex systems demand.</w:t>
      </w:r>
    </w:p>
    <w:p>
      <w:pPr>
        <w:pStyle w:val="Heading1"/>
        <w:pBdr>
          <w:bottom w:val="single" w:color="2E5C99" w:sz="8" w:space="4"/>
        </w:pBdr>
        <w:spacing w:after="200" w:before="400"/>
      </w:pPr>
      <w:r>
        <w:rPr>
          <w:b/>
          <w:bCs/>
          <w:color w:val="1F3864"/>
        </w:rPr>
        <w:t xml:space="preserve">9. Emerging Trends</w:t>
      </w:r>
    </w:p>
    <w:p>
      <w:pPr>
        <w:pStyle w:val="ListParagraph"/>
        <w:numPr>
          <w:ilvl w:val="0"/>
          <w:numId w:val="2"/>
        </w:numPr>
        <w:spacing w:after="120" w:line="280"/>
      </w:pPr>
      <w:r>
        <w:rPr>
          <w:sz w:val="22"/>
          <w:szCs w:val="22"/>
        </w:rPr>
        <w:t xml:space="preserve">Convergence of low-code platforms with artificial intelligence to auto-generate application logic from natural language prompts.</w:t>
      </w:r>
    </w:p>
    <w:p>
      <w:pPr>
        <w:pStyle w:val="ListParagraph"/>
        <w:numPr>
          <w:ilvl w:val="0"/>
          <w:numId w:val="2"/>
        </w:numPr>
        <w:spacing w:after="120" w:line="280"/>
      </w:pPr>
      <w:r>
        <w:rPr>
          <w:sz w:val="22"/>
          <w:szCs w:val="22"/>
        </w:rPr>
        <w:t xml:space="preserve">Growth of "pro-code" extensibility within low-code platforms, allowing custom code to be embedded within visual workflows.</w:t>
      </w:r>
    </w:p>
    <w:p>
      <w:pPr>
        <w:pStyle w:val="ListParagraph"/>
        <w:numPr>
          <w:ilvl w:val="0"/>
          <w:numId w:val="2"/>
        </w:numPr>
        <w:spacing w:after="120" w:line="280"/>
      </w:pPr>
      <w:r>
        <w:rPr>
          <w:sz w:val="22"/>
          <w:szCs w:val="22"/>
        </w:rPr>
        <w:t xml:space="preserve">Increasing enterprise governance frameworks for citizen development to manage security and compliance risk.</w:t>
      </w:r>
    </w:p>
    <w:p>
      <w:pPr>
        <w:pStyle w:val="ListParagraph"/>
        <w:numPr>
          <w:ilvl w:val="0"/>
          <w:numId w:val="2"/>
        </w:numPr>
        <w:spacing w:after="120" w:line="280"/>
      </w:pPr>
      <w:r>
        <w:rPr>
          <w:sz w:val="22"/>
          <w:szCs w:val="22"/>
        </w:rPr>
        <w:t xml:space="preserve">Traditional development increasingly leveraging AI-assisted coding tools to boost engineering productivity.</w:t>
      </w:r>
    </w:p>
    <w:p>
      <w:pPr>
        <w:pStyle w:val="ListParagraph"/>
        <w:numPr>
          <w:ilvl w:val="0"/>
          <w:numId w:val="2"/>
        </w:numPr>
        <w:spacing w:after="120" w:line="280"/>
      </w:pPr>
      <w:r>
        <w:rPr>
          <w:sz w:val="22"/>
          <w:szCs w:val="22"/>
        </w:rPr>
        <w:t xml:space="preserve">Growing adoption of composable architectures that combine low-code front ends with traditionally engineered back-end services.</w:t>
      </w:r>
    </w:p>
    <w:p>
      <w:pPr>
        <w:pStyle w:val="Heading1"/>
        <w:pBdr>
          <w:bottom w:val="single" w:color="2E5C99" w:sz="8" w:space="4"/>
        </w:pBdr>
        <w:spacing w:after="200" w:before="400"/>
      </w:pPr>
      <w:r>
        <w:rPr>
          <w:b/>
          <w:bCs/>
          <w:color w:val="1F3864"/>
        </w:rPr>
        <w:t xml:space="preserve">10. Conclusion</w:t>
      </w:r>
    </w:p>
    <w:p>
      <w:pPr>
        <w:spacing w:after="200" w:line="300"/>
        <w:jc w:val="both"/>
      </w:pPr>
      <w:r>
        <w:rPr>
          <w:sz w:val="22"/>
          <w:szCs w:val="22"/>
        </w:rPr>
        <w:t xml:space="preserve">Low-code and traditional development each offer distinct advantages suited to different organizational needs. Low-code development excels in speed, accessibility, and cost-efficiency for straightforward or time-sensitive projects, while traditional development remains indispensable for complex, large-scale, and highly customized systems that demand full control and long-term scalability.</w:t>
      </w:r>
    </w:p>
    <w:p>
      <w:pPr>
        <w:spacing w:after="200" w:line="300"/>
        <w:jc w:val="both"/>
      </w:pPr>
      <w:r>
        <w:rPr>
          <w:sz w:val="22"/>
          <w:szCs w:val="22"/>
        </w:rPr>
        <w:t xml:space="preserve">Rather than viewing these approaches as competing alternatives, forward-looking organizations increasingly treat them as complementary tools within a broader application development strategy — selecting the right approach, or combination of approaches, based on the specific demands of each project. As the technology landscape continues to evolve, the convergence of low-code accessibility with traditional engineering rigor is likely to define the next generation of enterprise application development.</w:t>
      </w:r>
    </w:p>
    <w:sectPr>
      <w:headerReference w:type="default" r:id="rId10"/>
      <w:footerReference w:type="default" r:id="rId1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color w:val="595959"/>
        <w:sz w:val="20"/>
        <w:szCs w:val="20"/>
      </w:rPr>
      <w:t xml:space="preserve">Thavasakthi.S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Low-Code vs Traditional Development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Low-Code vs Traditional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2E5C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2026-07-21T05:28:05.977Z</dcterms:created>
  <dcterms:modified xsi:type="dcterms:W3CDTF">2026-07-21T05:28:06.006Z</dcterms:modified>
</cp:coreProperties>
</file>

<file path=docProps/custom.xml><?xml version="1.0" encoding="utf-8"?>
<Properties xmlns="http://schemas.openxmlformats.org/officeDocument/2006/custom-properties" xmlns:vt="http://schemas.openxmlformats.org/officeDocument/2006/docPropsVTypes"/>
</file>