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Default Extension="wmf" ContentType="image/x-wmf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40"/>
        <w:ind w:right="0" w:left="0" w:firstLine="0"/>
        <w:jc w:val="center"/>
        <w:rPr>
          <w:rFonts w:ascii="Arial" w:hAnsi="Arial" w:cs="Arial" w:eastAsia="Arial"/>
          <w:b/>
          <w:color w:val="00000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4"/>
          <w:shd w:fill="auto" w:val="clear"/>
        </w:rPr>
        <w:t xml:space="preserve">Identidade visual</w:t>
      </w:r>
    </w:p>
    <w:p>
      <w:pPr>
        <w:spacing w:before="0" w:after="200" w:line="240"/>
        <w:ind w:right="0" w:left="0" w:firstLine="0"/>
        <w:jc w:val="center"/>
        <w:rPr>
          <w:rFonts w:ascii="Arial" w:hAnsi="Arial" w:cs="Arial" w:eastAsia="Arial"/>
          <w:b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200" w:line="240"/>
        <w:ind w:right="0" w:left="0" w:firstLine="0"/>
        <w:jc w:val="both"/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  <w:tab/>
        <w:t xml:space="preserve">Para a logotipo da aplicação, foi pensado se baseando no conceito de que os triângulos remetem a dinamismo e estabilidade, pontos estes que reforçam a  proposta de visar o ambiente corporativo de forma dinâmica em sua representação e estável na forma de uso da aplicação.</w:t>
      </w:r>
    </w:p>
    <w:p>
      <w:pPr>
        <w:spacing w:before="0" w:after="200" w:line="240"/>
        <w:ind w:right="0" w:left="0" w:firstLine="0"/>
        <w:jc w:val="both"/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  <w:tab/>
        <w:t xml:space="preserve">Além disso, a palavra “conectHaR” é uma junção das palavras conectar e Recursos humanos (RH), dado que o principal objetivo do sistema desenvolvido é conectar o Departamento pessoal (DP) que se localiza dentro do RH em uma plataforma que ofereça dinamismo, praticidade e estabilidade em suas funções.</w:t>
      </w:r>
    </w:p>
    <w:p>
      <w:pPr>
        <w:spacing w:before="0" w:after="200" w:line="240"/>
        <w:ind w:right="0" w:left="0" w:firstLine="0"/>
        <w:jc w:val="center"/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  <w:t xml:space="preserve">Logotipo </w:t>
      </w:r>
    </w:p>
    <w:p>
      <w:pPr>
        <w:spacing w:before="0" w:after="200" w:line="240"/>
        <w:ind w:right="0" w:left="0" w:firstLine="0"/>
        <w:jc w:val="center"/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</w:pPr>
      <w:r>
        <w:object w:dxaOrig="4719" w:dyaOrig="1941">
          <v:rect xmlns:o="urn:schemas-microsoft-com:office:office" xmlns:v="urn:schemas-microsoft-com:vml" id="rectole0000000000" style="width:235.950000pt;height:97.05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  <w:p>
      <w:pPr>
        <w:spacing w:before="0" w:after="200" w:line="240"/>
        <w:ind w:right="0" w:left="0" w:firstLine="0"/>
        <w:jc w:val="both"/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200" w:line="240"/>
        <w:ind w:right="0" w:left="0" w:firstLine="0"/>
        <w:jc w:val="both"/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  <w:tab/>
      </w:r>
      <w:r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  <w:t xml:space="preserve">Para a tipografia, foi utilizada a fonte Bebas Neue, uma tipografia de estilo sans-serif conhecida por sua legibilidade, modernidade e impacto visual. A escolha dessa fonte se alinha </w:t>
      </w:r>
      <w:r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  <w:t xml:space="preserve">à proposta da aplicação de transmitir clareza e objetividade, além de reforçar a identidade corporativa do sistema. Sua aparência limpa e minimalista garante uma boa leitura em diferentes tamanhos de tela, mantendo a consistência visual entre logotipo, interfaces e demais elementos gráficos da plataforma. </w:t>
      </w:r>
    </w:p>
    <w:p>
      <w:pPr>
        <w:spacing w:before="0" w:after="200" w:line="240"/>
        <w:ind w:right="0" w:left="0" w:firstLine="0"/>
        <w:jc w:val="both"/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200" w:line="240"/>
        <w:ind w:right="0" w:left="0" w:firstLine="0"/>
        <w:jc w:val="center"/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  <w:t xml:space="preserve">Tipografia Bebas Neue com a palavra CONECTHAR</w:t>
      </w:r>
    </w:p>
    <w:p>
      <w:pPr>
        <w:spacing w:before="0" w:after="200" w:line="240"/>
        <w:ind w:right="0" w:left="0" w:firstLine="0"/>
        <w:jc w:val="center"/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</w:pPr>
      <w:r>
        <w:object w:dxaOrig="5986" w:dyaOrig="1632">
          <v:rect xmlns:o="urn:schemas-microsoft-com:office:office" xmlns:v="urn:schemas-microsoft-com:vml" id="rectole0000000001" style="width:299.300000pt;height:81.60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Metafile" DrawAspect="Content" ObjectID="0000000001" ShapeID="rectole0000000001" r:id="docRId2"/>
        </w:object>
      </w:r>
    </w:p>
    <w:p>
      <w:pPr>
        <w:spacing w:before="0" w:after="200" w:line="240"/>
        <w:ind w:right="0" w:left="0" w:firstLine="0"/>
        <w:jc w:val="both"/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200" w:line="240"/>
        <w:ind w:right="0" w:left="0" w:firstLine="0"/>
        <w:jc w:val="both"/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  <w:t xml:space="preserve">Para a paleta de cores, optou-se por diferentes varia</w:t>
      </w:r>
      <w:r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  <w:t xml:space="preserve">ções de tons arroxeados, que transitam do azul-violeta mais intenso até um lilás suave. Essa escolha transmite modernidade, inovação e inteligência, valores alinhados ao propósito da aplicação. O tom mais forte representa solidez e confiança, o intermediário sugere equilíbrio e estabilidade, enquanto o tom mais claro reforça a clareza e acessibilidade, garantindo uma identidade visual harmoniosa e adequada ao ambiente corporativo.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As cores hexadecimais são respectivamente, #464FAE,      #6b5a8b e #b3b2d1</w:t>
      </w:r>
    </w:p>
    <w:p>
      <w:pPr>
        <w:spacing w:before="0" w:after="200" w:line="240"/>
        <w:ind w:right="0" w:left="0" w:firstLine="0"/>
        <w:jc w:val="both"/>
        <w:rPr>
          <w:rFonts w:ascii="Arial" w:hAnsi="Arial" w:cs="Arial" w:eastAsia="Arial"/>
          <w:b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200" w:line="240"/>
        <w:ind w:right="0" w:left="0" w:firstLine="0"/>
        <w:jc w:val="both"/>
        <w:rPr>
          <w:rFonts w:ascii="Arial" w:hAnsi="Arial" w:cs="Arial" w:eastAsia="Arial"/>
          <w:b/>
          <w:color w:val="000000"/>
          <w:spacing w:val="0"/>
          <w:position w:val="0"/>
          <w:sz w:val="24"/>
          <w:shd w:fill="auto" w:val="clear"/>
        </w:rPr>
      </w:pPr>
      <w:r>
        <w:object w:dxaOrig="8640" w:dyaOrig="1665">
          <v:rect xmlns:o="urn:schemas-microsoft-com:office:office" xmlns:v="urn:schemas-microsoft-com:vml" id="rectole0000000002" style="width:432.000000pt;height:83.250000pt" o:preferrelative="t" o:ole="">
            <o:lock v:ext="edit"/>
            <v:imagedata xmlns:r="http://schemas.openxmlformats.org/officeDocument/2006/relationships" r:id="docRId5" o:title=""/>
          </v:rect>
          <o:OLEObject xmlns:r="http://schemas.openxmlformats.org/officeDocument/2006/relationships" xmlns:o="urn:schemas-microsoft-com:office:office" Type="Embed" ProgID="StaticDib" DrawAspect="Content" ObjectID="0000000002" ShapeID="rectole0000000002" r:id="docRId4"/>
        </w:object>
      </w:r>
    </w:p>
    <w:p>
      <w:pPr>
        <w:spacing w:before="0" w:after="20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0.wmf" Id="docRId1" Type="http://schemas.openxmlformats.org/officeDocument/2006/relationships/image" /><Relationship Target="media/image1.wmf" Id="docRId3" Type="http://schemas.openxmlformats.org/officeDocument/2006/relationships/image" /><Relationship Target="media/image2.wmf" Id="docRId5" Type="http://schemas.openxmlformats.org/officeDocument/2006/relationships/image" /><Relationship Target="styles.xml" Id="docRId7" Type="http://schemas.openxmlformats.org/officeDocument/2006/relationships/styles" /><Relationship Target="embeddings/oleObject0.bin" Id="docRId0" Type="http://schemas.openxmlformats.org/officeDocument/2006/relationships/oleObject" /><Relationship Target="embeddings/oleObject1.bin" Id="docRId2" Type="http://schemas.openxmlformats.org/officeDocument/2006/relationships/oleObject" /><Relationship Target="embeddings/oleObject2.bin" Id="docRId4" Type="http://schemas.openxmlformats.org/officeDocument/2006/relationships/oleObject" /><Relationship Target="numbering.xml" Id="docRId6" Type="http://schemas.openxmlformats.org/officeDocument/2006/relationships/numbering" /></Relationships>
</file>