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n7yefhhv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abjavvpa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Cross-Specialization &amp; Mastery Path Governance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Governance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Specializations &amp; Advanced Practitioners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governance framework for </w:t>
      </w:r>
      <w:r w:rsidDel="00000000" w:rsidR="00000000" w:rsidRPr="00000000">
        <w:rPr>
          <w:b w:val="1"/>
          <w:bCs w:val="1"/>
          <w:rtl w:val="0"/>
        </w:rPr>
        <w:t xml:space="preserve">cross-specialization practice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hidden mastery path</w:t>
      </w:r>
      <w:r w:rsidDel="00000000" w:rsidR="00000000" w:rsidRPr="00000000">
        <w:rPr>
          <w:rtl w:val="0"/>
        </w:rPr>
        <w:t xml:space="preserve"> within the Arcanum. It ensures that advanced integration, multi-domain fluency, and system stewardship may emerge </w:t>
      </w:r>
      <w:r w:rsidDel="00000000" w:rsidR="00000000" w:rsidRPr="00000000">
        <w:rPr>
          <w:b w:val="1"/>
          <w:bCs w:val="1"/>
          <w:rtl w:val="0"/>
        </w:rPr>
        <w:t xml:space="preserve">without hierarchy, domination, or authority inflation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does not depend on those files. They may be re-uploaded later if needed for language alignment or functional outcome extraction.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3miq8xwk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recognizes that some practitioners will naturally practice </w:t>
      </w:r>
      <w:r w:rsidDel="00000000" w:rsidR="00000000" w:rsidRPr="00000000">
        <w:rPr>
          <w:b w:val="1"/>
          <w:bCs w:val="1"/>
          <w:rtl w:val="0"/>
        </w:rPr>
        <w:t xml:space="preserve">multiple specializations</w:t>
      </w:r>
      <w:r w:rsidDel="00000000" w:rsidR="00000000" w:rsidRPr="00000000">
        <w:rPr>
          <w:rtl w:val="0"/>
        </w:rPr>
        <w:t xml:space="preserve">, not for status or completion, but out of genuine devotion to the Art.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governs: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cross-specialization practice is permitted,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mastery emerges without formalization,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system stewardship permissions are granted without spiritual authority.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vs4geawj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l4w3w28k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Cross-Specialization Practice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urqzi1k5w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CS-1 — Cross-Specialization Is Emergent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Cross-specialization practice is allowed and expected to emerge organically.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predefined hybrid classes, titles, or tracks shall be created.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Cross-specialization combinations are: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situational,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contextual,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practitioner-specific.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enumerated, ranked, or formalized.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vlms9xt3u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CS-2 — No Hybrid Titles Are Recognized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does not recognize or confer hybrid specialization titles.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describe their practice informally, but: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governance rights,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recognition,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derived from hybrid naming.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0csm6j7i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CS-3 — Identity Non-Fixation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Cross-specialization practice must not become identity consolidation.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may move fluidly between roles without becoming defined by them.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yw235fl8d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ja5u7es7v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43nyhylo2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The Hidden Mastery Path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d1xxnbm1v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MP-1 — Mastery Is Not Advertised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visible, public, or guided mastery track.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mastery path: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not listed,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incentivized,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optimized for.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discovered only through sustained devotion.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raw6be1ur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MP-2 — Mastery Is Non-Transactional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does not result from: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accumulation of credentials,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of checklists,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recognition.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emerges through long-term coherence, restraint, and integration.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17shs50xh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MP-3 — No Completion Claim Is Permitted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practitioner may declare themselves complete, mastered, enlightened, or superior.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declaration invalidates eligibility for stewardship.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190baze5t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d61t845q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xx0fladcv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twcjv3cel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Stewardship Eligibility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0szbd44w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ST-1 — Stewardship Is Invited, Not Claimed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Governance-level participation is extended by invitation only.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not: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request,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for,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claim stewardship roles.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fxeissq0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ST-2 — Eligibility Preconditions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may be considered for stewardship only if they: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completed the full Core Vitae,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practiced all ten specializations sufficiently (no completion requirement),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consistently demonstrate non-dominance and epistemic humility,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uncertainty rather than collapse it,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invariants without exception.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8mdimpk41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ST-3 — Governance Permission, Not Authority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confers 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, not authority.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actions include: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contributing to system design,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proposing amendments,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implementations,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invariants,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modules or curricula.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 may not: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belief,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meaning for others,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action,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assert spiritual superiority.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jfgypi98g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Titles &amp; Recognition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l2b1loi44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TR-1 — No Formal Master Titles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does not grant titles such as: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Wizard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Magus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Archmage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of the Art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exist culturally but carry no system recognition or rights.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u5dursmmo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TR-2 — Formal Governance Designation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recognized designation for advanced practitioners is: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Steward of the Arcanum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designation is: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administrative,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ethical,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non-symbolic.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67f6ql4ca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Relationship to the Architect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thk66phuz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RA-1 — Constitutional Authority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 holds foundational authority only over: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architecture,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integrity,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enforcement.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 does not hold interpretive or spiritual authority.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53vqe60w7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RA-2 — Architect Is Bound by Invariants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 is equally bound by: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specialization-wide invariants,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governance rules,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exit preservation.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may override the system.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9f9d88gbw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mastery path exists to </w:t>
      </w:r>
      <w:r w:rsidDel="00000000" w:rsidR="00000000" w:rsidRPr="00000000">
        <w:rPr>
          <w:b w:val="1"/>
          <w:bCs w:val="1"/>
          <w:rtl w:val="0"/>
        </w:rPr>
        <w:t xml:space="preserve">protect the Arcanum from decay</w:t>
      </w:r>
      <w:r w:rsidDel="00000000" w:rsidR="00000000" w:rsidRPr="00000000">
        <w:rPr>
          <w:rtl w:val="0"/>
        </w:rPr>
        <w:t xml:space="preserve">, not to elevate individuals.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practitioner uses cross-specialization or mastery to claim dominance, authority, or superiority, their eligibility is void.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survives through restraint, devotion, and humility.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Cross-Specialization &amp; Mastery Path Governance Canon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