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Summary of Project Activities – Cloud-based Bioinformatics Tools</w:t>
      </w:r>
    </w:p>
    <w:p>
      <w:pPr>
        <w:pStyle w:val="style0"/>
      </w:pPr>
      <w:r>
        <w:rPr/>
        <w:t>The Cloud-based Bioinformatics Tools project had significant challenges in the beginning of FY 2012-2013 in terms of gaining adequate staffing and meeting milestones.  A request for change was submitted in early 2013 and a change of project management occurred.  These issues have all been recovered from thanks to a great effort from the entire team.  We have been having quarterly steering committee meetings and were finally able to report the project being on track for the latest meeting for the end of the May 1 – June 30 quarter.  The project is still going to require a big effort from all staff to stay on track as we look to complete the final functionality whilst trying to attract and assist potential users.</w:t>
      </w:r>
    </w:p>
    <w:p>
      <w:pPr>
        <w:pStyle w:val="style0"/>
      </w:pPr>
      <w:r>
        <w:rPr/>
        <w:t>The core system has now been in production in Melbourne for 15 months on NeCTAR Server Program hardware, providing Subject Management functionality to the LifePool breast cancer research project.  The study now has in excess of 40,000 subjects under administration.  Initial user feedback has been very positive and we are preparing to deploy additional modules for this project, including the Clinical/Phenotypic Data management module and the Laboratory Information Management System (LIMS).  The conversion and thousands of biospecimens is expected within the next 4-6 weeks.</w:t>
      </w:r>
    </w:p>
    <w:p>
      <w:pPr>
        <w:pStyle w:val="style0"/>
      </w:pPr>
      <w:r>
        <w:rPr/>
        <w:t xml:space="preserve">Migration of 21 studies belonging to the Western Australian Research Tissue Network (WARTN) has been completed and has received very positive feedback over the past 2 months.  Additionally one brand new study is under administration there and is seemlessly functioning under the administration of the WA DNA Bank (WADB).  </w:t>
      </w:r>
    </w:p>
    <w:p>
      <w:pPr>
        <w:pStyle w:val="style0"/>
      </w:pPr>
      <w:r>
        <w:rPr/>
        <w:t>Presentations have been made to other potential users in Western Australia and further user sessions and potential-user sessions are intended.</w:t>
      </w:r>
    </w:p>
    <w:p>
      <w:pPr>
        <w:pStyle w:val="style0"/>
      </w:pPr>
      <w:r>
        <w:rPr/>
        <w:t>The Work Tracking (Integrated Invoicing and Billing), Data Extraction, Registry and Phenotypic Data modules are all completed and the Reporting and Data Linkage module is completed 3 months ahead of schedule, this was completed early in order to allow the pedigree module to slip in its place, as we are expanding its development as part of our PhD students work.  The work in visualisation and uploading of pedigree information is complete and is looking very promising.</w:t>
      </w:r>
    </w:p>
    <w:p>
      <w:pPr>
        <w:pStyle w:val="style0"/>
      </w:pPr>
      <w:r>
        <w:rPr/>
        <w:t xml:space="preserve">Please see attached asset and financial reports for further information or contact the project manager, Travis Endersby;  </w:t>
      </w:r>
    </w:p>
    <w:p>
      <w:pPr>
        <w:pStyle w:val="style0"/>
      </w:pPr>
      <w:hyperlink r:id="rId2">
        <w:r>
          <w:rPr>
            <w:rStyle w:val="style16"/>
          </w:rPr>
          <w:t>travis.endersby@uwa.edu.au</w:t>
        </w:r>
      </w:hyperlink>
      <w:r>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1:  Asset reports;</w:t>
      </w:r>
    </w:p>
    <w:p>
      <w:pPr>
        <w:pStyle w:val="style0"/>
      </w:pPr>
      <w:r>
        <w:rPr/>
      </w:r>
    </w:p>
    <w:p>
      <w:pPr>
        <w:pStyle w:val="style0"/>
      </w:pPr>
      <w:r>
        <w:rPr/>
      </w:r>
    </w:p>
    <w:sectPr>
      <w:headerReference r:id="rId3" w:type="default"/>
      <w:type w:val="nextPage"/>
      <w:pgSz w:h="16838" w:w="11906"/>
      <w:pgMar w:bottom="1440" w:footer="0" w:gutter="0" w:header="1440" w:left="1440" w:right="1440" w:top="1979"/>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pPr>
    <w:r>
      <w:rPr/>
      <w:t>NeCTAR Annual Report  -  July 2012 to June 2013.</w:t>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AU"/>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vis.endersby@uwa.edu.au" TargetMode="External"/><Relationship Id="rId3" Type="http://schemas.openxmlformats.org/officeDocument/2006/relationships/header" Target="header1.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2012-08-06T02:58:00.00Z</dcterms:created>
  <dc:creator>pwhite</dc:creator>
  <cp:lastModifiedBy>pwhite</cp:lastModifiedBy>
  <cp:lastPrinted>2013-07-30T11:35:42.00Z</cp:lastPrinted>
  <dcterms:modified xsi:type="dcterms:W3CDTF">2012-08-06T03:21:00.00Z</dcterms:modified>
  <cp:revision>1</cp:revision>
</cp:coreProperties>
</file>