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Framework: Biological Target Summaries — ADHD-Relevant Structure and Evidence</w:t>
      </w:r>
    </w:p>
    <w:p>
      <w:pPr>
        <w:pStyle w:val="Heading1"/>
      </w:pPr>
      <w:r>
        <w:rPr>
          <w:sz w:val="28"/>
        </w:rPr>
        <w:t>BRS1 — Neurotransmitter Regulation: Framework Structure and ADHD-Relevant Evidence</w:t>
      </w:r>
    </w:p>
    <w:p>
      <w:pPr>
        <w:spacing w:line="480" w:lineRule="auto" w:after="120"/>
      </w:pPr>
      <w:r>
        <w:rPr>
          <w:rFonts w:ascii="Times New Roman" w:hAnsi="Times New Roman"/>
          <w:sz w:val="24"/>
        </w:rPr>
        <w:t>Within the BRAIN Framework, BRS1 (Neurotransmitter Regulation) describes the signal layer supporting attention, motivation, mood, and behavioural control. Four Functional Mechanisms (FMs) integrate diet-actionable Primary Mechanisms (PMs): BRS1(FM1) Monoaminergic Function (PM1–PM4: amino-acid availability, LAT1 transport, noradrenergic executive modulation, serotonergic regulation); BRS1(FM2) Cholinergic Function (PM5: acetylcholine synthesis); BRS1(FM3) Membrane Lipid Integrity (PM6: neuronal DHA incorporation); and BRS1(FM4) GABA–Glutamate Regulation (PM7–PM10: GABA–glutamate balance, GABA synthesis, glutamate clearance, excitotoxicity modulation). Key Constraints (shared substrate pools) and Specific Mechanisms (phenotype, genetic, and cross-system interpretation layers) provide additional structural context.</w:t>
      </w:r>
    </w:p>
    <w:p>
      <w:pPr>
        <w:spacing w:line="480" w:lineRule="auto" w:after="120"/>
      </w:pPr>
      <w:r>
        <w:rPr>
          <w:rFonts w:ascii="Times New Roman" w:hAnsi="Times New Roman"/>
          <w:sz w:val="24"/>
        </w:rPr>
        <w:t>In ADHD, neurobiology spans multiple transmitter systems. Dopaminergic alterations vary by subtype, stage, and brain region without supporting a simple global hypo-dopaminergic model (MacDonald et al., 2024); dopamine is linked to attention network switching (Santos et al., 2019). Meal-level amino-acid sufficiency and tryptophan/tyrosine biology connect dietary protein to catecholaminergic and serotonergic precursor supply (Wang et al., 2019; Aquili, 2020; Reimherr &amp; Ward, 1987). Noradrenergic signalling relates to attention regulation (O'Donnell et al., 2012); serotonin to affective and impulsive phenotypes, including emotion dysregulation co-occurring with ADHD (Oades, 2010; Banerjee &amp; Nandagopal, 2015; Shaw et al., 2014). Cholinergic evidence includes low choline intakes and altered muscarinic receptor binding (Derbyshire et al., 2023; Johansson et al., 2013). Omega-3 membrane biology is reviewed in ADHD contexts (Chang, 2021; McNamara &amp; Carlson, 2006), with supplementation trials reported (Huss et al., 2010). Excitation–inhibition imbalance is supported by reduced GABA and altered glutamate in ADHD cohorts (Edden et al., 2012; Puts et al., 2020; Maltezos et al., 2014).</w:t>
      </w:r>
    </w:p>
    <w:p>
      <w:pPr>
        <w:spacing w:line="480" w:lineRule="auto" w:after="120"/>
      </w:pPr>
      <w:r>
        <w:rPr>
          <w:rFonts w:ascii="Times New Roman" w:hAnsi="Times New Roman"/>
          <w:sz w:val="24"/>
        </w:rPr>
        <w:t>Collectively, these mechanisms support the BRAIN Framework proposition that neurotransmitter-related phenotypes emerge from interacting constraints on precursor availability, membrane composition, cholinergic signalling, and excitation–inhibition balance, providing multiple diet-actionable targets beyond single-neurotransmitter models of ADHD.</w:t>
      </w:r>
    </w:p>
    <w:p>
      <w:pPr>
        <w:pStyle w:val="Heading2"/>
      </w:pPr>
      <w:r>
        <w:t>References</w:t>
      </w:r>
    </w:p>
    <w:p>
      <w:pPr>
        <w:pStyle w:val="ListNumber"/>
        <w:spacing w:line="240" w:lineRule="auto" w:after="60"/>
        <w:ind w:left="360" w:hanging="360"/>
      </w:pPr>
      <w:r>
        <w:rPr>
          <w:rFonts w:ascii="Times New Roman" w:hAnsi="Times New Roman"/>
          <w:sz w:val="22"/>
        </w:rPr>
        <w:t>Aquili, L. (2020). The role of tryptophan and tyrosine in executive function and reward processing. International Journal of Tryptophan Research, 13. https://doi.org/10.1177/1178646920964825</w:t>
      </w:r>
    </w:p>
    <w:p>
      <w:pPr>
        <w:pStyle w:val="ListNumber"/>
        <w:spacing w:line="240" w:lineRule="auto" w:after="60"/>
        <w:ind w:left="360" w:hanging="360"/>
      </w:pPr>
      <w:r>
        <w:rPr>
          <w:rFonts w:ascii="Times New Roman" w:hAnsi="Times New Roman"/>
          <w:sz w:val="22"/>
        </w:rPr>
        <w:t>Banerjee, E., &amp; Nandagopal, K. (2015). Does serotonin deficit mediate susceptibility to ADHD? Neurochemistry International, 82, 52–68. https://doi.org/10.1016/j.neuint.2015.02.001</w:t>
      </w:r>
    </w:p>
    <w:p>
      <w:pPr>
        <w:pStyle w:val="ListNumber"/>
        <w:spacing w:line="240" w:lineRule="auto" w:after="60"/>
        <w:ind w:left="360" w:hanging="360"/>
      </w:pPr>
      <w:r>
        <w:rPr>
          <w:rFonts w:ascii="Times New Roman" w:hAnsi="Times New Roman"/>
          <w:sz w:val="22"/>
        </w:rPr>
        <w:t>Chang, J. P.-C. (2021). Personalised medicine in child and adolescent psychiatry: Focus on omega-3 polyunsaturated fatty acids and ADHD. Brain, Behavior, &amp; Immunity—Health, 16, 100310. https://doi.org/10.1016/j.bbih.2021.100310</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Edden, R. A. E., Crocetti, D., Zhu, H., Gilbert, D. L., &amp; Mostofsky, S. H. (2012). Reduced GABA concentration in attention-deficit/hyperactivity disorder. Archives of General Psychiatry, 69(7). https://doi.org/10.1001/archgenpsychiatry.2011.2280</w:t>
      </w:r>
    </w:p>
    <w:p>
      <w:pPr>
        <w:pStyle w:val="ListNumber"/>
        <w:spacing w:line="240" w:lineRule="auto" w:after="60"/>
        <w:ind w:left="360" w:hanging="360"/>
      </w:pPr>
      <w:r>
        <w:rPr>
          <w:rFonts w:ascii="Times New Roman" w:hAnsi="Times New Roman"/>
          <w:sz w:val="22"/>
        </w:rPr>
        <w:t>Huss, M., Völp, A., &amp; Stauss-Grabo, M. (2010). Supplementation of polyunsaturated fatty acids, magnesium and zinc in children seeking medical advice for attention-deficit/hyperactivity problems—An observational cohort study. Lipids in Health and Disease, 9, 105. https://doi.org/10.1186/1476-511X-9-105</w:t>
      </w:r>
    </w:p>
    <w:p>
      <w:pPr>
        <w:pStyle w:val="ListNumber"/>
        <w:spacing w:line="240" w:lineRule="auto" w:after="60"/>
        <w:ind w:left="360" w:hanging="360"/>
      </w:pPr>
      <w:r>
        <w:rPr>
          <w:rFonts w:ascii="Times New Roman" w:hAnsi="Times New Roman"/>
          <w:sz w:val="22"/>
        </w:rPr>
        <w:t>Johansson, J., Landgren, M., Fernell, E., Lewander, T., &amp; Venizelos, N. (2013). Decreased binding capacity (Bmax) of muscarinic acetylcholine receptors in fibroblasts from boys with attention-deficit/hyperactivity disorder (ADHD). ADHD Attention Deficit and Hyperactivity Disorders, 5(3), 267–271. https://doi.org/10.1007/s12402-013-0103-0</w:t>
      </w:r>
    </w:p>
    <w:p>
      <w:pPr>
        <w:pStyle w:val="ListNumber"/>
        <w:spacing w:line="240" w:lineRule="auto" w:after="60"/>
        <w:ind w:left="360" w:hanging="360"/>
      </w:pPr>
      <w:r>
        <w:rPr>
          <w:rFonts w:ascii="Times New Roman" w:hAnsi="Times New Roman"/>
          <w:sz w:val="22"/>
        </w:rPr>
        <w:t>MacDonald, H. J., Kleppe, R., Szigetvari, P. D., &amp; Haavik, J. (2024). The dopamine hypothesis for ADHD: An evaluation of evidence accumulated from human studies and animal models. Frontiers in Psychiatry, 15. https://doi.org/10.3389/fpsyt.2024.1492126</w:t>
      </w:r>
    </w:p>
    <w:p>
      <w:pPr>
        <w:pStyle w:val="ListNumber"/>
        <w:spacing w:line="240" w:lineRule="auto" w:after="60"/>
        <w:ind w:left="360" w:hanging="360"/>
      </w:pPr>
      <w:r>
        <w:rPr>
          <w:rFonts w:ascii="Times New Roman" w:hAnsi="Times New Roman"/>
          <w:sz w:val="22"/>
        </w:rPr>
        <w:t>Maltezos, S., Horder, J., Coghlan, S., et al. (2014). Glutamate/glutamine and neuronal integrity in adults with ADHD: A proton MRS study. Translational Psychiatry, 4(3), e373. https://doi.org/10.1038/tp.2014.11</w:t>
      </w:r>
    </w:p>
    <w:p>
      <w:pPr>
        <w:pStyle w:val="ListNumber"/>
        <w:spacing w:line="240" w:lineRule="auto" w:after="60"/>
        <w:ind w:left="360" w:hanging="360"/>
      </w:pPr>
      <w:r>
        <w:rPr>
          <w:rFonts w:ascii="Times New Roman" w:hAnsi="Times New Roman"/>
          <w:sz w:val="22"/>
        </w:rPr>
        <w:t>McNamara, R. K., &amp; Carlson, S. E. (2006). Role of omega-3 fatty acids in brain development and function: Potential implications for the pathogenesis and prevention of psychopathology. Prostaglandins, Leukotrienes and Essential Fatty Acids, 75(4–5), 329–349. https://doi.org/10.1016/j.plefa.2006.07.010</w:t>
      </w:r>
    </w:p>
    <w:p>
      <w:pPr>
        <w:pStyle w:val="ListNumber"/>
        <w:spacing w:line="240" w:lineRule="auto" w:after="60"/>
        <w:ind w:left="360" w:hanging="360"/>
      </w:pPr>
      <w:r>
        <w:rPr>
          <w:rFonts w:ascii="Times New Roman" w:hAnsi="Times New Roman"/>
          <w:sz w:val="22"/>
        </w:rPr>
        <w:t>Oades, R. D. (2010). The role of serotonin in attention-deficit hyperactivity disorder (ADHD). In Progress in Brain Research (Vol. 180, pp. 565–584). https://doi.org/10.1016/S1569-7339(10)70101-6</w:t>
      </w:r>
    </w:p>
    <w:p>
      <w:pPr>
        <w:pStyle w:val="ListNumber"/>
        <w:spacing w:line="240" w:lineRule="auto" w:after="60"/>
        <w:ind w:left="360" w:hanging="360"/>
      </w:pPr>
      <w:r>
        <w:rPr>
          <w:rFonts w:ascii="Times New Roman" w:hAnsi="Times New Roman"/>
          <w:sz w:val="22"/>
        </w:rPr>
        <w:t>O'Donnell, J., Zeppenfeld, D., McConnell, E., Pena, S., &amp; Nedergaard, M. (2012). Norepinephrine: A neuromodulator that boosts the function of multiple cell types to optimize CNS performance. Neurochemical Research, 37(11), 2496–2512. https://doi.org/10.1007/s11064-012-0818-x</w:t>
      </w:r>
    </w:p>
    <w:p>
      <w:pPr>
        <w:pStyle w:val="ListNumber"/>
        <w:spacing w:line="240" w:lineRule="auto" w:after="60"/>
        <w:ind w:left="360" w:hanging="360"/>
      </w:pPr>
      <w:r>
        <w:rPr>
          <w:rFonts w:ascii="Times New Roman" w:hAnsi="Times New Roman"/>
          <w:sz w:val="22"/>
        </w:rPr>
        <w:t>Puts, N. A. J., Ryan, M., Oeltzschner, G., et al. (2020). Reduced striatal GABA in unmedicated children with ADHD at 7T. Psychiatry Research: Neuroimaging, 301, 111082. https://doi.org/10.1016/j.pscychresns.2020.111082</w:t>
      </w:r>
    </w:p>
    <w:p>
      <w:pPr>
        <w:pStyle w:val="ListNumber"/>
        <w:spacing w:line="240" w:lineRule="auto" w:after="60"/>
        <w:ind w:left="360" w:hanging="360"/>
      </w:pPr>
      <w:r>
        <w:rPr>
          <w:rFonts w:ascii="Times New Roman" w:hAnsi="Times New Roman"/>
          <w:sz w:val="22"/>
        </w:rPr>
        <w:t>Reimherr, F. W., &amp; Ward, M. F. (1987). An open trial of L-tyrosine in the treatment of attention deficit disorder, residual type. American Journal of Psychiatry, 144(8), 1071–1073. https://doi.org/10.1176/ajp.144.8.1071</w:t>
      </w:r>
    </w:p>
    <w:p>
      <w:pPr>
        <w:pStyle w:val="ListNumber"/>
        <w:spacing w:line="240" w:lineRule="auto" w:after="60"/>
        <w:ind w:left="360" w:hanging="360"/>
      </w:pPr>
      <w:r>
        <w:rPr>
          <w:rFonts w:ascii="Times New Roman" w:hAnsi="Times New Roman"/>
          <w:sz w:val="22"/>
        </w:rPr>
        <w:t>Santos, P. H., Gonçalves, R., &amp; Pedroso, S. (2019). Methylphenidate and default-mode network activation: Systematic review. Revista de Neurología, 68(10), 417. https://doi.org/10.33588/rn.6810.2018487</w:t>
      </w:r>
    </w:p>
    <w:p>
      <w:pPr>
        <w:pStyle w:val="ListNumber"/>
        <w:spacing w:line="240" w:lineRule="auto" w:after="60"/>
        <w:ind w:left="360" w:hanging="360"/>
      </w:pPr>
      <w:r>
        <w:rPr>
          <w:rFonts w:ascii="Times New Roman" w:hAnsi="Times New Roman"/>
          <w:sz w:val="22"/>
        </w:rPr>
        <w:t>Shaw, P., Stringaris, A., Nigg, J., &amp; Leibenluft, E. (2014). Emotion dysregulation in attention deficit hyperactivity disorder. American Journal of Psychiatry, 171(3), 276–293. https://doi.org/10.1176/appi.ajp.2013.13070966</w:t>
      </w:r>
    </w:p>
    <w:p>
      <w:pPr>
        <w:pStyle w:val="ListNumber"/>
        <w:spacing w:line="240" w:lineRule="auto" w:after="60"/>
        <w:ind w:left="360" w:hanging="360"/>
      </w:pPr>
      <w:r>
        <w:rPr>
          <w:rFonts w:ascii="Times New Roman" w:hAnsi="Times New Roman"/>
          <w:sz w:val="22"/>
        </w:rPr>
        <w:t>Wang, L.-J., Yu, Y.-H., Fu, M.-L., et al. (2019). Dietary profiles, nutritional biochemistry status, and attention-deficit/hyperactivity disorder: Path analysis for a case-control study. Journal of Clinical Medicine, 8(5), 709. https://doi.org/10.3390/jcm8050709</w:t>
      </w:r>
    </w:p>
    <w:p>
      <w:r>
        <w:br w:type="page"/>
      </w:r>
    </w:p>
    <w:p>
      <w:pPr>
        <w:pStyle w:val="Heading1"/>
      </w:pPr>
      <w:r>
        <w:rPr>
          <w:sz w:val="28"/>
        </w:rPr>
        <w:t>BRS2 — Methylation &amp; One-Carbon Metabolism: Framework Structure and ADHD-Relevant Evidence</w:t>
      </w:r>
    </w:p>
    <w:p>
      <w:pPr>
        <w:spacing w:line="480" w:lineRule="auto" w:after="120"/>
      </w:pPr>
      <w:r>
        <w:rPr>
          <w:rFonts w:ascii="Times New Roman" w:hAnsi="Times New Roman"/>
          <w:sz w:val="24"/>
        </w:rPr>
        <w:t>Within the BRAIN Framework, BRS2 (Methylation &amp; One-Carbon Metabolism) describes the nutrient-dependent layer linking dietary methyl-donor patterns to homocysteine recycling, SAMe synthesis, transsulfuration redox chemistry, and membrane phospholipid formation. Three Functional Mechanisms integrate seven Primary Mechanisms: BRS2(FM1) Methylation Cycle Efficiency (PM1–PM4: folate/B12-dependent homocysteine remethylation, betaine/BHMT remethylation, SAMe synthesis, methionine-cycle flux); BRS2(FM2) Transsulfuration &amp; Redox Coupling (PM5–PM6: transsulfuration pathway, glutathione synthesis); and BRS2(FM3) Methylation–Membrane Coupling (PM7: phosphatidylcholine formation). Key Constraints govern shared one-carbon and methionine/transsulfuration substrate pools; Specific Mechanisms such as BRS2(SM-SNP1) capture genetic sensitivity to folate-cycle efficiency (e.g. MTHFR-related variants).</w:t>
      </w:r>
    </w:p>
    <w:p>
      <w:pPr>
        <w:spacing w:line="480" w:lineRule="auto" w:after="120"/>
      </w:pPr>
      <w:r>
        <w:rPr>
          <w:rFonts w:ascii="Times New Roman" w:hAnsi="Times New Roman"/>
          <w:sz w:val="24"/>
        </w:rPr>
        <w:t>In ADHD, methyl-donor biology intersects attention and cognitive control through multiple coupled pathways. Folate, B12, and zinc status correlate with symptom severity (Razavinia et al., 2024), and dietary patterns rich in fibre, folate, and omega-3 associate with reduced symptoms (Millichap &amp; Yee, 2012). SAMe serves as the principal methyl donor for DNA methylation, phospholipid synthesis, and numerous cellular methylation reactions, linking dietary methyl-donor availability to downstream regulatory systems (Chiang et al., 1996). Through transsulfuration, homocysteine can be diverted toward cysteine and glutathione synthesis, coupling methylation status to antioxidant capacity and oxidative stress regulation (Kumar et al., 2017; Minich et al., 2019). PEMT-dependent SAMe methylation converts phosphatidylethanolamine to phosphatidylcholine, shaping membrane composition and fluidity (Vance, 2014); B-vitamin effects on cognition depend on adequate omega-3 status, consistent with a phospholipid bridge to brain long-chain PUFA delivery (Oulhaj et al., 2016; Liu et al., 2014). Choline supports acetylcholine and phospholipid substrates with positive ADHD trial signals (Derbyshire &amp; Maes, 2023). Elevated homocysteine, a functional marker of impaired one-carbon metabolism, has been reported in pediatric ADHD cohorts (Lukovac et al., 2024).</w:t>
      </w:r>
    </w:p>
    <w:p>
      <w:pPr>
        <w:spacing w:line="480" w:lineRule="auto" w:after="120"/>
      </w:pPr>
      <w:r>
        <w:rPr>
          <w:rFonts w:ascii="Times New Roman" w:hAnsi="Times New Roman"/>
          <w:sz w:val="24"/>
        </w:rPr>
        <w:t>Collectively, these mechanisms support the BRAIN Framework proposition that attention-related phenotypes in ADHD emerge from interacting constraints on one-carbon donor availability, methionine-cycle flux, transsulfuration redox coupling, and SAMe-dependent phosphatidylcholine formation at the membrane interface, providing multiple diet-actionable entry points beyond isolated micronutrient supplementation models.</w:t>
      </w:r>
    </w:p>
    <w:p>
      <w:pPr>
        <w:pStyle w:val="Heading2"/>
      </w:pPr>
      <w:r>
        <w:t>References</w:t>
      </w:r>
    </w:p>
    <w:p>
      <w:pPr>
        <w:pStyle w:val="ListNumber"/>
        <w:spacing w:line="240" w:lineRule="auto" w:after="60"/>
        <w:ind w:left="360" w:hanging="360"/>
      </w:pPr>
      <w:r>
        <w:rPr>
          <w:rFonts w:ascii="Times New Roman" w:hAnsi="Times New Roman"/>
          <w:sz w:val="22"/>
        </w:rPr>
        <w:t>Chiang, P. K., et al. (1996). S-Adenosylmethionine and methylation. FASEB Journal, 10(5), 471–480. https://pubmed.ncbi.nlm.nih.gov/8647346/</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Kumar, N., et al. (2017). The transsulfuration pathway. World Journal of Hepatology, 9(16), 745–750. https://doi.org/10.4254/wjh.v9.i16.745</w:t>
      </w:r>
    </w:p>
    <w:p>
      <w:pPr>
        <w:pStyle w:val="ListNumber"/>
        <w:spacing w:line="240" w:lineRule="auto" w:after="60"/>
        <w:ind w:left="360" w:hanging="360"/>
      </w:pPr>
      <w:r>
        <w:rPr>
          <w:rFonts w:ascii="Times New Roman" w:hAnsi="Times New Roman"/>
          <w:sz w:val="22"/>
        </w:rPr>
        <w:t>Liu, L., et al. (2014). Higher efficacy of dietary DHA provided as a phospholipid than as a triglyceride for brain DHA accretion in neonatal piglets. Journal of Lipid Research, 55(3), 531–539. https://doi.org/10.1194/jlr.M045930</w:t>
      </w:r>
    </w:p>
    <w:p>
      <w:pPr>
        <w:pStyle w:val="ListNumber"/>
        <w:spacing w:line="240" w:lineRule="auto" w:after="60"/>
        <w:ind w:left="360" w:hanging="360"/>
      </w:pPr>
      <w:r>
        <w:rPr>
          <w:rFonts w:ascii="Times New Roman" w:hAnsi="Times New Roman"/>
          <w:sz w:val="22"/>
        </w:rPr>
        <w:t>Lukovac, T., et al. (2024). Serum biomarker analysis in pediatric ADHD: Implications of homocysteine, vitamin B12, vitamin D, ferritin, and iron levels. Children, 11(4), 497. https://doi.org/10.3390/children11040497</w:t>
      </w:r>
    </w:p>
    <w:p>
      <w:pPr>
        <w:pStyle w:val="ListNumber"/>
        <w:spacing w:line="240" w:lineRule="auto" w:after="60"/>
        <w:ind w:left="360" w:hanging="360"/>
      </w:pPr>
      <w:r>
        <w:rPr>
          <w:rFonts w:ascii="Times New Roman" w:hAnsi="Times New Roman"/>
          <w:sz w:val="22"/>
        </w:rPr>
        <w:t>Millichap, J. G., &amp; Yee, M. M. (2012). The diet factor in attention-deficit/hyperactivity disorder. Pediatrics, 129(2), 330–337. https://doi.org/10.1542/peds.2011-2199</w:t>
      </w:r>
    </w:p>
    <w:p>
      <w:pPr>
        <w:pStyle w:val="ListNumber"/>
        <w:spacing w:line="240" w:lineRule="auto" w:after="60"/>
        <w:ind w:left="360" w:hanging="360"/>
      </w:pPr>
      <w:r>
        <w:rPr>
          <w:rFonts w:ascii="Times New Roman" w:hAnsi="Times New Roman"/>
          <w:sz w:val="22"/>
        </w:rPr>
        <w:t>Minich, D. M., et al. (2019). A review of dietary (phyto)nutrients for glutathione support. Nutrients, 11(9), 2073. https://doi.org/10.3390/nu11092073</w:t>
      </w:r>
    </w:p>
    <w:p>
      <w:pPr>
        <w:pStyle w:val="ListNumber"/>
        <w:spacing w:line="240" w:lineRule="auto" w:after="60"/>
        <w:ind w:left="360" w:hanging="360"/>
      </w:pPr>
      <w:r>
        <w:rPr>
          <w:rFonts w:ascii="Times New Roman" w:hAnsi="Times New Roman"/>
          <w:sz w:val="22"/>
        </w:rPr>
        <w:t>Oulhaj, A., et al. (2016). Omega-3 fatty acid status enhances the prevention of cognitive decline by B vitamins in mild cognitive impairment. Journal of Alzheimer's Disease, 50(2), 547–557. https://doi.org/10.3233/JAD-150777</w:t>
      </w:r>
    </w:p>
    <w:p>
      <w:pPr>
        <w:pStyle w:val="ListNumber"/>
        <w:spacing w:line="240" w:lineRule="auto" w:after="60"/>
        <w:ind w:left="360" w:hanging="360"/>
      </w:pPr>
      <w:r>
        <w:rPr>
          <w:rFonts w:ascii="Times New Roman" w:hAnsi="Times New Roman"/>
          <w:sz w:val="22"/>
        </w:rPr>
        <w:t>Razavinia, F., et al. (2024). Vitamins B9 and B12 in children with attention deficit hyperactivity disorder (ADHD). International Journal for Vitamin and Nutrition Research, 94(5–6), 476–484. https://doi.org/10.1024/0300-9831/a000809</w:t>
      </w:r>
    </w:p>
    <w:p>
      <w:pPr>
        <w:pStyle w:val="ListNumber"/>
        <w:spacing w:line="240" w:lineRule="auto" w:after="60"/>
        <w:ind w:left="360" w:hanging="360"/>
      </w:pPr>
      <w:r>
        <w:rPr>
          <w:rFonts w:ascii="Times New Roman" w:hAnsi="Times New Roman"/>
          <w:sz w:val="22"/>
        </w:rPr>
        <w:t>Vance, D. E. (2014). Physiological roles of phosphatidylethanolamine N-methyltransferase. Biochimica et Biophysica Acta, 1831(3), 626–632. https://doi.org/10.1016/j.bbalip.2012.07.018</w:t>
      </w:r>
    </w:p>
    <w:p>
      <w:r>
        <w:br w:type="page"/>
      </w:r>
    </w:p>
    <w:p>
      <w:pPr>
        <w:pStyle w:val="Heading1"/>
      </w:pPr>
      <w:r>
        <w:rPr>
          <w:sz w:val="28"/>
        </w:rPr>
        <w:t>BRS3 — Inflammation &amp; Oxidative Stress: Framework Structure and ADHD-Relevant Evidence</w:t>
      </w:r>
    </w:p>
    <w:p>
      <w:pPr>
        <w:spacing w:line="480" w:lineRule="auto" w:after="120"/>
      </w:pPr>
      <w:r>
        <w:rPr>
          <w:rFonts w:ascii="Times New Roman" w:hAnsi="Times New Roman"/>
          <w:sz w:val="24"/>
        </w:rPr>
        <w:t>Within the BRAIN Framework, BRS3 (Inflammation &amp; Oxidative Stress) describes the immune and redox regulation layer linking dietary pattern, gut–immune context, and antioxidant biology to inflammatory signalling and oxidative burden. Three Functional Mechanisms integrate eight Primary Mechanisms: BRS3(FM1) Anti-Inflammatory Signalling Tone (PM1–PM2: NF-κB regulation, gut-derived inflammatory signalling); BRS3(FM2) Antioxidant Defense Capacity (PM3–PM6: Nrf2-ARE antioxidant activation, ROS generation versus clearance balance, lipid peroxidation control, antioxidant network recycling); and BRS3(FM3) Inflammation Resolution Capacity (PM7–PM8: cytokine network modulation, eicosanoid/SPM balance). Key Constraints are BRS3(KC1) Antioxidant Substrate Availability and BRS3(KC3) Essential Fatty Acid Balance — shared pools constraining endogenous antioxidant defence, redox buffering, inflammatory signalling, and inflammation-resolution pathways. BRS3 cross-links to BRS5 gut-barrier and immune-interface biology where gut-derived inflammatory load is relevant.</w:t>
      </w:r>
    </w:p>
    <w:p>
      <w:pPr>
        <w:spacing w:line="480" w:lineRule="auto" w:after="120"/>
      </w:pPr>
      <w:r>
        <w:rPr>
          <w:rFonts w:ascii="Times New Roman" w:hAnsi="Times New Roman"/>
          <w:sz w:val="24"/>
        </w:rPr>
        <w:t>In ADHD, inflammatory and redox biology intersect across these capacities rather than through a single biomarker. Systemic inflammation relates to default-mode network connectivity (Marsland et al., 2017); metabolic and postprandial inflammatory patterns are reported (Brown et al., 2025); and elevated pro-inflammatory cytokine context is described in paediatric cohorts (Chang et al., 2020). Gut-derived load includes reduced microbiome alpha diversity (Prehn-Kristensen et al., 2018), butyrate-linked neuroinflammation framing (Yunting Li et al., 2024), and propionate–norepinephrine signalling with possible attention relevance (Hoyles et al., 2018). Immune–allergy overlap is also reported (Wesselink et al., 2019). On the redox side, adult ADHD cohorts show elevated malondialdehyde (Bulut et al., 2007), thiol/disulfide shifts and DNA oxidation markers (Kurhan &amp; Alp, 2021), elevated oxidative-stress indices (Miniksar et al., 2023), and compensatory glutathione elevation (Verlaet et al., 2019). Dietary antioxidant treatment rationale, ultra-processed food and metals exposure, and emerging contaminant burden are reviewed in ADHD nutritional contexts (Verlaet et al., 2018; Dufault et al., 2024; Zhang et al., 2025). A small randomised Pycnogenol trial reported attention and hyperactivity improvements with normalised total antioxidant status and glutathione balance, though replication remains limited (Trebatická et al., 2006; Dvořáková et al., 2006; Chovanová et al., 2006).</w:t>
      </w:r>
    </w:p>
    <w:p>
      <w:pPr>
        <w:spacing w:line="480" w:lineRule="auto" w:after="120"/>
      </w:pPr>
      <w:r>
        <w:rPr>
          <w:rFonts w:ascii="Times New Roman" w:hAnsi="Times New Roman"/>
          <w:sz w:val="24"/>
        </w:rPr>
        <w:t>Collectively, these findings support the BRAIN Framework proposition that ADHD-relevant biology in BRS3 emerges from interacting constraints on inflammatory tone, endogenous antioxidant induction, net redox balance, and inflammation-resolution substrate context — providing multiple diet-actionable entry points beyond isolated anti-inflammatory or antioxidant supplementation models.</w:t>
      </w:r>
    </w:p>
    <w:p>
      <w:pPr>
        <w:pStyle w:val="Heading2"/>
      </w:pPr>
      <w:r>
        <w:rPr>
          <w:sz w:val="26"/>
        </w:rPr>
        <w:t>Paper review: Verlaet et al. (2018) and BRS3-FM2-PM3 (Nrf2-ARE Antioxidant Activation)</w:t>
      </w:r>
    </w:p>
    <w:p>
      <w:pPr>
        <w:spacing w:line="480" w:lineRule="auto" w:after="120"/>
      </w:pPr>
      <w:r>
        <w:rPr>
          <w:rFonts w:ascii="Times New Roman" w:hAnsi="Times New Roman"/>
          <w:sz w:val="24"/>
        </w:rPr>
        <w:t>Verlaet et al. (2018) is a narrative review in Nutrients arguing that dietary antioxidant strategies may complement stimulant pharmacotherapy in ADHD, synthesising evidence linking ADHD to immune dysregulation, altered oxidant–antioxidant balance, and mutually reinforcing low-grade inflammation and oxidative stress. Within the BRAIN Framework, this argument aligns most directly with BRS3-FM2-PM3 (Nrf2-ARE Antioxidant Activation)—endogenous antioxidant and detoxification gene programmes induced through repeatable food-derived patterns rather than high-dose isolated supplement megadosing. The paper is used cautiously at low–medium confidence for Cognitive Clarity and Focus / Attention Stability as hypothesis-generating translational context, not proof of dietary treatment efficacy.</w:t>
      </w:r>
    </w:p>
    <w:p>
      <w:pPr>
        <w:pStyle w:val="Heading2"/>
      </w:pPr>
      <w:r>
        <w:t>References</w:t>
      </w:r>
    </w:p>
    <w:p>
      <w:pPr>
        <w:pStyle w:val="ListNumber"/>
        <w:spacing w:line="240" w:lineRule="auto" w:after="60"/>
        <w:ind w:left="360" w:hanging="360"/>
      </w:pPr>
      <w:r>
        <w:rPr>
          <w:rFonts w:ascii="Times New Roman" w:hAnsi="Times New Roman"/>
          <w:sz w:val="22"/>
        </w:rPr>
        <w:t>Brown et al. (2025). Associations between ADHD and metabolic disorders. See BRAIN Diet bibliography: brown_associations_2025.</w:t>
      </w:r>
    </w:p>
    <w:p>
      <w:pPr>
        <w:pStyle w:val="ListNumber"/>
        <w:spacing w:line="240" w:lineRule="auto" w:after="60"/>
        <w:ind w:left="360" w:hanging="360"/>
      </w:pPr>
      <w:r>
        <w:rPr>
          <w:rFonts w:ascii="Times New Roman" w:hAnsi="Times New Roman"/>
          <w:sz w:val="22"/>
        </w:rPr>
        <w:t>Bulut, M., et al. (2007). Evaluation of malondialdehyde levels in adult attention deficit hyperactivity disorder. Psychiatry and Clinical Psychopharmacology. https://doi.org/10.1080/14751740701595421</w:t>
      </w:r>
    </w:p>
    <w:p>
      <w:pPr>
        <w:pStyle w:val="ListNumber"/>
        <w:spacing w:line="240" w:lineRule="auto" w:after="60"/>
        <w:ind w:left="360" w:hanging="360"/>
      </w:pPr>
      <w:r>
        <w:rPr>
          <w:rFonts w:ascii="Times New Roman" w:hAnsi="Times New Roman"/>
          <w:sz w:val="22"/>
        </w:rPr>
        <w:t>Chang, J. P.-C., et al. (2020). Cortisol, inflammatory biomarkers and neurotrophins in children and adolescents with ADHD in Taiwan. Brain, Behavior, and Immunity, 88. https://doi.org/10.1016/j.bbi.2020.05.017</w:t>
      </w:r>
    </w:p>
    <w:p>
      <w:pPr>
        <w:pStyle w:val="ListNumber"/>
        <w:spacing w:line="240" w:lineRule="auto" w:after="60"/>
        <w:ind w:left="360" w:hanging="360"/>
      </w:pPr>
      <w:r>
        <w:rPr>
          <w:rFonts w:ascii="Times New Roman" w:hAnsi="Times New Roman"/>
          <w:sz w:val="22"/>
        </w:rPr>
        <w:t>Dufault, R., et al. (2024). Nutritional factors in ADHD and related disorders. See BRAIN Diet bibliography: dufault_nutritional_2024.</w:t>
      </w:r>
    </w:p>
    <w:p>
      <w:pPr>
        <w:pStyle w:val="ListNumber"/>
        <w:spacing w:line="240" w:lineRule="auto" w:after="60"/>
        <w:ind w:left="360" w:hanging="360"/>
      </w:pPr>
      <w:r>
        <w:rPr>
          <w:rFonts w:ascii="Times New Roman" w:hAnsi="Times New Roman"/>
          <w:sz w:val="22"/>
        </w:rPr>
        <w:t>Houghton, C. A., Fassett, R. G., &amp; Coombes, J. S. (2016). Can the clinician's expectation be matched by the reality? Sulforaphane bioavailability and Nrf2 activation. Oxidative Medicine and Cellular Longevity. https://doi.org/10.1155/2016/7857186</w:t>
      </w:r>
    </w:p>
    <w:p>
      <w:pPr>
        <w:pStyle w:val="ListNumber"/>
        <w:spacing w:line="240" w:lineRule="auto" w:after="60"/>
        <w:ind w:left="360" w:hanging="360"/>
      </w:pPr>
      <w:r>
        <w:rPr>
          <w:rFonts w:ascii="Times New Roman" w:hAnsi="Times New Roman"/>
          <w:sz w:val="22"/>
        </w:rPr>
        <w:t>Hoyles, T., et al. (2018). Microbiome-host systems biology. See BRAIN Diet bibliography: hoyles_microbiome-host_2018.</w:t>
      </w:r>
    </w:p>
    <w:p>
      <w:pPr>
        <w:pStyle w:val="ListNumber"/>
        <w:spacing w:line="240" w:lineRule="auto" w:after="60"/>
        <w:ind w:left="360" w:hanging="360"/>
      </w:pPr>
      <w:r>
        <w:rPr>
          <w:rFonts w:ascii="Times New Roman" w:hAnsi="Times New Roman"/>
          <w:sz w:val="22"/>
        </w:rPr>
        <w:t>Kurhan, S., &amp; Alp, H. H. (2021). Dynamic thiol/disulfide homeostasis in ADHD. Psychiatry Investigation. https://doi.org/10.30773/pi.2020.0359</w:t>
      </w:r>
    </w:p>
    <w:p>
      <w:pPr>
        <w:pStyle w:val="ListNumber"/>
        <w:spacing w:line="240" w:lineRule="auto" w:after="60"/>
        <w:ind w:left="360" w:hanging="360"/>
      </w:pPr>
      <w:r>
        <w:rPr>
          <w:rFonts w:ascii="Times New Roman" w:hAnsi="Times New Roman"/>
          <w:sz w:val="22"/>
        </w:rPr>
        <w:t>Marsland, A. L., et al. (2017). Systemic inflammation and brain structure in healthy and depressed individuals. See BRAIN Diet bibliography: marsland_systemic_2017.</w:t>
      </w:r>
    </w:p>
    <w:p>
      <w:pPr>
        <w:pStyle w:val="ListNumber"/>
        <w:spacing w:line="240" w:lineRule="auto" w:after="60"/>
        <w:ind w:left="360" w:hanging="360"/>
      </w:pPr>
      <w:r>
        <w:rPr>
          <w:rFonts w:ascii="Times New Roman" w:hAnsi="Times New Roman"/>
          <w:sz w:val="22"/>
        </w:rPr>
        <w:t>Miniksar, D. B., et al. (2023). The effect of drug use, BMI and blood pressure on oxidative stress levels in children and adolescents with ADHD. Clinical Psychopharmacology and Neuroscience, 21(1). https://doi.org/10.9758/cpn.2023.21.1.88</w:t>
      </w:r>
    </w:p>
    <w:p>
      <w:pPr>
        <w:pStyle w:val="ListNumber"/>
        <w:spacing w:line="240" w:lineRule="auto" w:after="60"/>
        <w:ind w:left="360" w:hanging="360"/>
      </w:pPr>
      <w:r>
        <w:rPr>
          <w:rFonts w:ascii="Times New Roman" w:hAnsi="Times New Roman"/>
          <w:sz w:val="22"/>
        </w:rPr>
        <w:t>Mocchegiani, E., &amp; Malavolta, M. (2019). Role of zinc and selenium in antioxidant systems. See BRAIN Diet bibliography: mocchegiani_role_2019.</w:t>
      </w:r>
    </w:p>
    <w:p>
      <w:pPr>
        <w:pStyle w:val="ListNumber"/>
        <w:spacing w:line="240" w:lineRule="auto" w:after="60"/>
        <w:ind w:left="360" w:hanging="360"/>
      </w:pPr>
      <w:r>
        <w:rPr>
          <w:rFonts w:ascii="Times New Roman" w:hAnsi="Times New Roman"/>
          <w:sz w:val="22"/>
        </w:rPr>
        <w:t>Prehn-Kristensen, A., et al. (2018). Reduced microbiome alpha diversity in ADHD. See BRAIN Diet bibliography: prehn-kristensen_reduced_2018.</w:t>
      </w:r>
    </w:p>
    <w:p>
      <w:pPr>
        <w:pStyle w:val="ListNumber"/>
        <w:spacing w:line="240" w:lineRule="auto" w:after="60"/>
        <w:ind w:left="360" w:hanging="360"/>
      </w:pPr>
      <w:r>
        <w:rPr>
          <w:rFonts w:ascii="Times New Roman" w:hAnsi="Times New Roman"/>
          <w:sz w:val="22"/>
        </w:rPr>
        <w:t>Verlaet, A., Maasakkers, C., Hermans, N., &amp; Savelkoul, H. (2018). Rationale for dietary antioxidant treatment of ADHD. Nutrients, 10(4), 405. https://doi.org/10.3390/nu10040405</w:t>
      </w:r>
    </w:p>
    <w:p>
      <w:pPr>
        <w:pStyle w:val="ListNumber"/>
        <w:spacing w:line="240" w:lineRule="auto" w:after="60"/>
        <w:ind w:left="360" w:hanging="360"/>
      </w:pPr>
      <w:r>
        <w:rPr>
          <w:rFonts w:ascii="Times New Roman" w:hAnsi="Times New Roman"/>
          <w:sz w:val="22"/>
        </w:rPr>
        <w:t>Verlaet, A., et al. (2019). Oxidative stress in ADHD. See BRAIN Diet bibliography: verlaet_oxidative_2019.</w:t>
      </w:r>
    </w:p>
    <w:p>
      <w:pPr>
        <w:pStyle w:val="ListNumber"/>
        <w:spacing w:line="240" w:lineRule="auto" w:after="60"/>
        <w:ind w:left="360" w:hanging="360"/>
      </w:pPr>
      <w:r>
        <w:rPr>
          <w:rFonts w:ascii="Times New Roman" w:hAnsi="Times New Roman"/>
          <w:sz w:val="22"/>
        </w:rPr>
        <w:t>Wesselink, E., et al. (2019). Feeding, immunity, and ADHD. See BRAIN Diet bibliography: wesselink_feeding_2019.</w:t>
      </w:r>
    </w:p>
    <w:p>
      <w:pPr>
        <w:pStyle w:val="ListNumber"/>
        <w:spacing w:line="240" w:lineRule="auto" w:after="60"/>
        <w:ind w:left="360" w:hanging="360"/>
      </w:pPr>
      <w:r>
        <w:rPr>
          <w:rFonts w:ascii="Times New Roman" w:hAnsi="Times New Roman"/>
          <w:sz w:val="22"/>
        </w:rPr>
        <w:t>Yunting Li, et al. (2024). Sodium butyrate and neuroinflammation. See BRAIN Diet bibliography: li_sodium_2024.</w:t>
      </w:r>
    </w:p>
    <w:p>
      <w:pPr>
        <w:pStyle w:val="ListNumber"/>
        <w:spacing w:line="240" w:lineRule="auto" w:after="60"/>
        <w:ind w:left="360" w:hanging="360"/>
      </w:pPr>
      <w:r>
        <w:rPr>
          <w:rFonts w:ascii="Times New Roman" w:hAnsi="Times New Roman"/>
          <w:sz w:val="22"/>
        </w:rPr>
        <w:t>Zhang, Y., et al. (2025). Micro/nanoplastics and ADHD. See BRAIN Diet bibliography: zhang_exploring_2025.</w:t>
      </w:r>
    </w:p>
    <w:p>
      <w:pPr>
        <w:pStyle w:val="ListNumber"/>
        <w:spacing w:line="240" w:lineRule="auto" w:after="60"/>
        <w:ind w:left="360" w:hanging="360"/>
      </w:pPr>
      <w:r>
        <w:rPr>
          <w:rFonts w:ascii="Times New Roman" w:hAnsi="Times New Roman"/>
          <w:sz w:val="22"/>
        </w:rPr>
        <w:t>Trebatická, J., et al. (2006). Treatment of ADHD with French maritime pine bark extract, Pycnogenol. European Child &amp; Adolescent Psychiatry, 15(6), 329–335. https://doi.org/10.1007/s00787-006-0535-6</w:t>
      </w:r>
    </w:p>
    <w:p>
      <w:pPr>
        <w:pStyle w:val="ListNumber"/>
        <w:spacing w:line="240" w:lineRule="auto" w:after="60"/>
        <w:ind w:left="360" w:hanging="360"/>
      </w:pPr>
      <w:r>
        <w:rPr>
          <w:rFonts w:ascii="Times New Roman" w:hAnsi="Times New Roman"/>
          <w:sz w:val="22"/>
        </w:rPr>
        <w:t>Dvořáková, M., et al. (2006). Urinary catecholamines in children with ADHD before and after Pycnogenol treatment. See BRAIN Diet bibliography: dvorakova_glutathione_pycnogenol_adhd_2006.</w:t>
      </w:r>
    </w:p>
    <w:p>
      <w:pPr>
        <w:pStyle w:val="ListNumber"/>
        <w:spacing w:line="240" w:lineRule="auto" w:after="60"/>
        <w:ind w:left="360" w:hanging="360"/>
      </w:pPr>
      <w:r>
        <w:rPr>
          <w:rFonts w:ascii="Times New Roman" w:hAnsi="Times New Roman"/>
          <w:sz w:val="22"/>
        </w:rPr>
        <w:t>Chovanová, Z., et al. (2006). Effect of Pycnogenol on 8-oxoguanine in children with ADHD. See BRAIN Diet bibliography: chovanova_8oxoguanine_pycnogenol_adhd_2006.</w:t>
      </w:r>
    </w:p>
    <w:p>
      <w:r>
        <w:br w:type="page"/>
      </w:r>
    </w:p>
    <w:p>
      <w:pPr>
        <w:pStyle w:val="Heading1"/>
      </w:pPr>
      <w:r>
        <w:rPr>
          <w:sz w:val="28"/>
        </w:rPr>
        <w:t>BRS4 — Mitochondrial Function &amp; Bioenergetics: Framework Structure and ADHD-Relevant Evidence</w:t>
      </w:r>
    </w:p>
    <w:p>
      <w:pPr>
        <w:spacing w:line="480" w:lineRule="auto" w:after="120"/>
      </w:pPr>
      <w:r>
        <w:rPr>
          <w:rFonts w:ascii="Times New Roman" w:hAnsi="Times New Roman"/>
          <w:sz w:val="24"/>
        </w:rPr>
        <w:t>Within the BRAIN Framework, BRS4 (Mitochondrial Function &amp; Bioenergetics) describes the integrated cellular capacity that sustains ATP production, fuel flexibility, mitochondrial protection, and longer-term mitochondrial quality control. Four Functional Mechanisms integrate nine Primary Mechanisms: BRS4(FM1) Cellular Bioenergetics (PM1–PM3: electron transport chain function, NAD⁺ metabolism, creatine–phosphocreatine buffering); BRS4(FM2) Mitochondrial Resilience &amp; Redox Stability (PM4–PM5: ROS production and control, mitochondrial protection and redox integrity); BRS4(FM3) Substrate Utilisation &amp; Flexibility (PM6–PM8: carnitine-mediated fat transport, ketone utilisation, metabolic fuel switching); and BRS4(FM4) Mitochondrial Capacity Expansion &amp; Adaptation (PM9: mitochondrial biogenesis). Key Constraints include BRS4(KC1) Macronutrient Substrate Availability and BRS4(KC2) Mitochondrial Cofactor Sufficiency — shared pools constraining respiratory-chain function, substrate delivery, and redox buffering. BRS4 cross-links to BRS3 antioxidant and inflammatory context and to BRS5 gut-derived metabolite biology where butyrate and related SCFAs influence brain energy metabolism.</w:t>
      </w:r>
    </w:p>
    <w:p>
      <w:pPr>
        <w:spacing w:line="480" w:lineRule="auto" w:after="120"/>
      </w:pPr>
      <w:r>
        <w:rPr>
          <w:rFonts w:ascii="Times New Roman" w:hAnsi="Times New Roman"/>
          <w:sz w:val="24"/>
        </w:rPr>
        <w:t>In ADHD, mitochondrial biology is interpreted as a modifiable regulatory system rather than a single universal deficit. Direct ADHD evidence includes a controlled carnitine supplementation trial reporting behavioural and functional improvements in children with ADHD (van Oudheusden &amp; Scholte, 2002); paediatric case–control work showing elevated glutathione and oxidative-stress markers with implications for mitochondrial lactate metabolism and ROS neutralisation (Verlaet et al., 2019); cybrid models from ADHD platelets demonstrating reduced cellular and mitochondrial respiration, lower complex V activity, membrane-potential loss, and elevated oxidative stress (Verma et al., 2016); and narrative reviews synthesising ADHD-relevant mitochondrial biomarker, oxidative-stress, and genetic-variation literature including mtDNA copy number and haplogroup associations (Öğütlü et al., 2022) and mitophagy-related bioenergetic regulation (Almutairi et al., 2024). Inferred mechanistic evidence extends from general mitochondrial and nutrition science: micronutrient cofactor sufficiency for respiratory-chain and brain-relevant pathways (Tardy et al., 2020); CoQ10 roles in electron transport and neuronal antioxidant protection (Crane, 2001); creatine-supported ATP recycling in neurons (Avgerinos et al., 2018); polyphenol-derived urolithin A and mitophagy pathways in non-ADHD intervention contexts (Singh et al., 2022; Andreux et al., 2019; Hou et al., 2024); and butyrate-related enhancement of mitochondrial function under oxidative stress, interpreted through gut–brain metabolic contexts (Rose et al., 2018). Human dietary intervention studies directly measuring mitochondrial functional mechanisms in ADHD remain limited; dedicated BRS4(SM-SNP) pages for mtDNA and polymorphism associations are pending framework expansion.</w:t>
      </w:r>
    </w:p>
    <w:p>
      <w:pPr>
        <w:spacing w:line="480" w:lineRule="auto" w:after="120"/>
      </w:pPr>
      <w:r>
        <w:rPr>
          <w:rFonts w:ascii="Times New Roman" w:hAnsi="Times New Roman"/>
          <w:sz w:val="24"/>
        </w:rPr>
        <w:t>Collectively, these findings do not imply that mitochondrial dysfunction is universal in ADHD, nor that individual biomarkers define the disorder. Instead, they support the BRAIN Framework proposition that ADHD-relevant bioenergetic phenotypes emerge from interacting constraints on electron transport, substrate delivery, redox stability, phosphocreatine buffering, and mitochondrial quality control — providing multiple diet-actionable entry points beyond isolated mitochondrial supplement models.</w:t>
      </w:r>
    </w:p>
    <w:p>
      <w:pPr>
        <w:pStyle w:val="Heading2"/>
      </w:pPr>
      <w:r>
        <w:t>References</w:t>
      </w:r>
    </w:p>
    <w:p>
      <w:pPr>
        <w:pStyle w:val="ListNumber"/>
        <w:spacing w:line="240" w:lineRule="auto" w:after="60"/>
        <w:ind w:left="360" w:hanging="360"/>
      </w:pPr>
      <w:r>
        <w:rPr>
          <w:rFonts w:ascii="Times New Roman" w:hAnsi="Times New Roman"/>
          <w:sz w:val="22"/>
        </w:rPr>
        <w:t>Almutairi, M. M., Althekair, A., Almutairi, F., Alatabani, M., &amp; Alsaikhan, A. (2024). Mitochondrial dysfunction and mitophagy in ADHD: Cellular and molecular mechanisms. Saudi Pharmaceutical Journal, 32(12). https://doi.org/10.1016/j.jsps.2024.102212</w:t>
      </w:r>
    </w:p>
    <w:p>
      <w:pPr>
        <w:pStyle w:val="ListNumber"/>
        <w:spacing w:line="240" w:lineRule="auto" w:after="60"/>
        <w:ind w:left="360" w:hanging="360"/>
      </w:pPr>
      <w:r>
        <w:rPr>
          <w:rFonts w:ascii="Times New Roman" w:hAnsi="Times New Roman"/>
          <w:sz w:val="22"/>
        </w:rPr>
        <w:t>Andreux, P. A., Blanco-Bose, W., Ryu, D., et al. (2019). The mitophagy activator urolithin A is safe and induces a molecular signature of improved mitochondrial and cellular health in humans. Nature Metabolism, 1(6). https://doi.org/10.1038/s42255-019-0073-4</w:t>
      </w:r>
    </w:p>
    <w:p>
      <w:pPr>
        <w:pStyle w:val="ListNumber"/>
        <w:spacing w:line="240" w:lineRule="auto" w:after="60"/>
        <w:ind w:left="360" w:hanging="360"/>
      </w:pPr>
      <w:r>
        <w:rPr>
          <w:rFonts w:ascii="Times New Roman" w:hAnsi="Times New Roman"/>
          <w:sz w:val="22"/>
        </w:rPr>
        <w:t>Avgerinos, K. I., Spyrou, N., Bougioukas, K. I., &amp; Kapogiannis, D. (2018). Effects of creatine supplementation on cognitive function of healthy individuals: A systematic review of randomized controlled trials. Clinical Nutrition, 37(6), 2184–2190. https://doi.org/10.1016/j.clnu.2017.12.002</w:t>
      </w:r>
    </w:p>
    <w:p>
      <w:pPr>
        <w:pStyle w:val="ListNumber"/>
        <w:spacing w:line="240" w:lineRule="auto" w:after="60"/>
        <w:ind w:left="360" w:hanging="360"/>
      </w:pPr>
      <w:r>
        <w:rPr>
          <w:rFonts w:ascii="Times New Roman" w:hAnsi="Times New Roman"/>
          <w:sz w:val="22"/>
        </w:rPr>
        <w:t>Crane, F. L. (2001). Biochemical functions of coenzyme Q10. Journal of the American College of Nutrition, 20(6), 591–598. https://doi.org/10.1080/07315724.2001.10719063</w:t>
      </w:r>
    </w:p>
    <w:p>
      <w:pPr>
        <w:pStyle w:val="ListNumber"/>
        <w:spacing w:line="240" w:lineRule="auto" w:after="60"/>
        <w:ind w:left="360" w:hanging="360"/>
      </w:pPr>
      <w:r>
        <w:rPr>
          <w:rFonts w:ascii="Times New Roman" w:hAnsi="Times New Roman"/>
          <w:sz w:val="22"/>
        </w:rPr>
        <w:t>Hou, Y., Chu, X., Park, J.-H., et al. (2024). Urolithin A improves Alzheimer's disease cognition and restores mitophagy and lysosomal functions. Alzheimer's &amp; Dementia, 20(6), 4212–4233. https://doi.org/10.1002/alz.13847</w:t>
      </w:r>
    </w:p>
    <w:p>
      <w:pPr>
        <w:pStyle w:val="ListNumber"/>
        <w:spacing w:line="240" w:lineRule="auto" w:after="60"/>
        <w:ind w:left="360" w:hanging="360"/>
      </w:pPr>
      <w:r>
        <w:rPr>
          <w:rFonts w:ascii="Times New Roman" w:hAnsi="Times New Roman"/>
          <w:sz w:val="22"/>
        </w:rPr>
        <w:t>Öğütlü, H., Kasak, M., &amp; Tabur, S. T. (2022). Mitochondrial dysfunction in attention deficit hyperactivity disorder. The Eurasian Journal of Medicine, 54(Suppl 1), S187–S195. https://doi.org/10.5152/eurasianjmed.2022.22187</w:t>
      </w:r>
    </w:p>
    <w:p>
      <w:pPr>
        <w:pStyle w:val="ListNumber"/>
        <w:spacing w:line="240" w:lineRule="auto" w:after="60"/>
        <w:ind w:left="360" w:hanging="360"/>
      </w:pPr>
      <w:r>
        <w:rPr>
          <w:rFonts w:ascii="Times New Roman" w:hAnsi="Times New Roman"/>
          <w:sz w:val="22"/>
        </w:rPr>
        <w:t>Rose, S., Bennuri, S. C., Davis, J. E., et al. (2018). Butyrate enhances mitochondrial function during oxidative stress in cell lines from boys with autism. Translational Psychiatry, 8(1). https://doi.org/10.1038/s41398-017-0089-z</w:t>
      </w:r>
    </w:p>
    <w:p>
      <w:pPr>
        <w:pStyle w:val="ListNumber"/>
        <w:spacing w:line="240" w:lineRule="auto" w:after="60"/>
        <w:ind w:left="360" w:hanging="360"/>
      </w:pPr>
      <w:r>
        <w:rPr>
          <w:rFonts w:ascii="Times New Roman" w:hAnsi="Times New Roman"/>
          <w:sz w:val="22"/>
        </w:rPr>
        <w:t>Singh, A., D'Amico, D., Andreux, P. A., et al. (2022). Direct supplementation with urolithin A overcomes limitations of dietary exposure and gut microbiome variability in healthy adults. European Journal of Clinical Nutrition, 76(2), 297–308. https://doi.org/10.1038/s41430-021-00950-1</w:t>
      </w:r>
    </w:p>
    <w:p>
      <w:pPr>
        <w:pStyle w:val="ListNumber"/>
        <w:spacing w:line="240" w:lineRule="auto" w:after="60"/>
        <w:ind w:left="360" w:hanging="360"/>
      </w:pPr>
      <w:r>
        <w:rPr>
          <w:rFonts w:ascii="Times New Roman" w:hAnsi="Times New Roman"/>
          <w:sz w:val="22"/>
        </w:rPr>
        <w:t>Tardy, A.-L., Pouteau, E., Marquez, D., Yilmaz, C., &amp; Scholey, A. (2020). Vitamins and minerals for energy, fatigue and cognition: A narrative review of the biochemical and clinical evidence. Nutrients, 12(1), 228. https://doi.org/10.3390/nu12010228</w:t>
      </w:r>
    </w:p>
    <w:p>
      <w:pPr>
        <w:pStyle w:val="ListNumber"/>
        <w:spacing w:line="240" w:lineRule="auto" w:after="60"/>
        <w:ind w:left="360" w:hanging="360"/>
      </w:pPr>
      <w:r>
        <w:rPr>
          <w:rFonts w:ascii="Times New Roman" w:hAnsi="Times New Roman"/>
          <w:sz w:val="22"/>
        </w:rPr>
        <w:t>van Oudheusden, L. J., &amp; Scholte, H. R. (2002). Efficacy of carnitine in the treatment of children with attention-deficit hyperactivity disorder. Prostaglandins, Leukotrienes and Essential Fatty Acids, 67(1), 33–38. https://doi.org/10.1054/plef.2002.0378</w:t>
      </w:r>
    </w:p>
    <w:p>
      <w:pPr>
        <w:pStyle w:val="ListNumber"/>
        <w:spacing w:line="240" w:lineRule="auto" w:after="60"/>
        <w:ind w:left="360" w:hanging="360"/>
      </w:pPr>
      <w:r>
        <w:rPr>
          <w:rFonts w:ascii="Times New Roman" w:hAnsi="Times New Roman"/>
          <w:sz w:val="22"/>
        </w:rPr>
        <w:t>Verlaet, A. A. J., Breynaert, A., Ceulemans, B., et al. (2019). Oxidative stress and immune aberrancies in attention-deficit/hyperactivity disorder (ADHD): A case–control comparison. European Child &amp; Adolescent Psychiatry, 28(5), 719–729. https://doi.org/10.1007/s00787-018-1239-4</w:t>
      </w:r>
    </w:p>
    <w:p>
      <w:pPr>
        <w:pStyle w:val="ListNumber"/>
        <w:spacing w:line="240" w:lineRule="auto" w:after="60"/>
        <w:ind w:left="360" w:hanging="360"/>
      </w:pPr>
      <w:r>
        <w:rPr>
          <w:rFonts w:ascii="Times New Roman" w:hAnsi="Times New Roman"/>
          <w:sz w:val="22"/>
        </w:rPr>
        <w:t>Verma, P., Singh, A., Nthenge-Ngumbau, D. N., et al. (2016). Attention deficit-hyperactivity disorder suffers from mitochondrial dysfunction. BBA Clinical, 6, 153–158. https://doi.org/10.1016/j.bbacli.2016.10.003</w:t>
      </w:r>
    </w:p>
    <w:p>
      <w:r>
        <w:br w:type="page"/>
      </w:r>
    </w:p>
    <w:p>
      <w:pPr>
        <w:pStyle w:val="Heading1"/>
      </w:pPr>
      <w:r>
        <w:rPr>
          <w:sz w:val="28"/>
        </w:rPr>
        <w:t>BRS5 — Gut-Brain Axis &amp; Enteric Nervous System: Framework Structure and ADHD-Relevant Evidence</w:t>
      </w:r>
    </w:p>
    <w:p>
      <w:pPr>
        <w:spacing w:line="480" w:lineRule="auto" w:after="120"/>
      </w:pPr>
      <w:r>
        <w:rPr>
          <w:rFonts w:ascii="Times New Roman" w:hAnsi="Times New Roman"/>
          <w:sz w:val="24"/>
        </w:rPr>
        <w:t>Within the BRAIN Framework, BRS5 (Gut-Brain Axis &amp; Enteric Nervous System) describes the integrated peripheral capacity that keeps the gut barrier selective, microbial ecology supportive, and gut-to-brain communication proportionate rather than chronically activating. Three Functional Mechanisms integrate eight Primary Mechanisms: BRS5(FM1) Gut Barrier Integrity &amp; Immune Interface (PM1–PM3: tight-junction integrity, LPS/endotoxin containment, keystone taxa support); BRS5(FM2) Microbial Metabolite Signalling Capacity (PM4–PM6: microbial ecological turnover, SCFA production and signalling, polyphenol biotransformation and mitochondrial-relevant metabolite generation); and BRS5(FM3) Gut-Vagal Neuromodulation &amp; ENS Signalling (PM7–PM8: vagal/ENS signalling modulation, neurotransmitter precursor biotransformation and availability). Key Constraints include BRS5(KC1) Fermentable Fibre Availability, BRS5(KC2) Polyphenol &amp; Plant-Diversity Input Availability, and BRS5(KC3) Barrier-Supportive Nutrient Sufficiency — shared pools constraining fermentation substrate, microbial ecology, and barrier resilience. BRS5 cross-links to BRS3 gut-derived inflammatory load and to BRS4 mitochondrial-relevant SCFA biology where butyrate and related metabolites influence brain energy metabolism.</w:t>
      </w:r>
    </w:p>
    <w:p>
      <w:pPr>
        <w:spacing w:line="480" w:lineRule="auto" w:after="120"/>
      </w:pPr>
      <w:r>
        <w:rPr>
          <w:rFonts w:ascii="Times New Roman" w:hAnsi="Times New Roman"/>
          <w:sz w:val="24"/>
        </w:rPr>
        <w:t>In ADHD, gut–brain axis biology is interpreted as a modifiable regulatory system rather than a single universal dysbiosis pattern. Direct ADHD evidence includes reduced microbial alpha diversity in paediatric cohorts (Prehn-Kristensen et al., 2018); gut microbiome composition linked to neural reward anticipation (Aarts et al., 2017); compositional differences in gut microbiota profiles in treatment-naïve children with ADHD (Jiang et al., 2018); lower faecal short-chain fatty acid levels in ADHD versus controls (Steckler et al., 2024); open-label Bifidobacterium bifidum supplementation with symptom and microbiota changes in children with ADHD (Wang et al., 2022); and early-life probiotic exposure with later neurodevelopmental risk associations including ADHD in a small randomised trial (Pärtty et al., 2015). Inferred mechanistic evidence extends from general gut–brain and nutrition science: microbiota-targeted dietary modulation of immune status and ecology in non-ADHD controlled feeding trials (Wastyk et al., 2021); taxonomic diversity and metabolite-generation capacity framing (Schleupner &amp; Carmichael, 2022); SCFA signalling for barrier and gut–brain communication (Silva et al., 2020); propionate-related blood–brain interface and noradrenergic signalling biology (Hoyles et al., 2018); butyrate-related mitochondrial and neuroinflammatory mechanistic work in non-ADHD contexts (Rose et al., 2018; Cavaliere et al., 2022); propionate neuroprotection in non-ADHD neurological cohorts (Grüter et al., 2023); microbiota–vagal GABA receptor modulation in preclinical models (Bravo et al., 2011); vagal neuromodulatory route reviews (Austelle et al., 2022); prebiotic effects on cortisol and emotional bias in healthy volunteers (Schmidt et al., 2015); and GOS prebiotic anxiolytic effects in healthy young women (Johnstone et al., 2021). Human dietary intervention studies directly measuring gut-barrier, SCFA, and vagal functional mechanisms in ADHD remain limited; probiotic findings show inconsistent taxa directions across cohorts; and dedicated BRS5(SM-Lifestage) pages for early-life probiotic modulation windows are pending framework expansion.</w:t>
      </w:r>
    </w:p>
    <w:p>
      <w:pPr>
        <w:spacing w:line="480" w:lineRule="auto" w:after="120"/>
      </w:pPr>
      <w:r>
        <w:rPr>
          <w:rFonts w:ascii="Times New Roman" w:hAnsi="Times New Roman"/>
          <w:sz w:val="24"/>
        </w:rPr>
        <w:t>Collectively, these findings do not imply that gut dysbiosis is universal in ADHD, nor that individual microbiome markers define the disorder. Instead, they support the BRAIN Framework proposition that ADHD-relevant gut–brain phenotypes emerge from interacting constraints on barrier integrity, microbial metabolite signalling, ecological turnover, and vagal/enteric communication — providing multiple diet-actionable entry points beyond isolated probiotic or psychobiotic supplement models.</w:t>
      </w:r>
    </w:p>
    <w:p>
      <w:pPr>
        <w:pStyle w:val="Heading2"/>
      </w:pPr>
      <w:r>
        <w:t>References</w:t>
      </w:r>
    </w:p>
    <w:p>
      <w:pPr>
        <w:pStyle w:val="ListNumber"/>
        <w:spacing w:line="240" w:lineRule="auto" w:after="60"/>
        <w:ind w:left="360" w:hanging="360"/>
      </w:pPr>
      <w:r>
        <w:rPr>
          <w:rFonts w:ascii="Times New Roman" w:hAnsi="Times New Roman"/>
          <w:sz w:val="22"/>
        </w:rPr>
        <w:t>Aarts, E., Ederveen, T. H. A., Naaijen, J., et al. (2017). Gut microbiome in ADHD and its relation to neural reward anticipation. PLOS ONE, 12(9). https://doi.org/10.1371/journal.pone.0183509</w:t>
      </w:r>
    </w:p>
    <w:p>
      <w:pPr>
        <w:pStyle w:val="ListNumber"/>
        <w:spacing w:line="240" w:lineRule="auto" w:after="60"/>
        <w:ind w:left="360" w:hanging="360"/>
      </w:pPr>
      <w:r>
        <w:rPr>
          <w:rFonts w:ascii="Times New Roman" w:hAnsi="Times New Roman"/>
          <w:sz w:val="22"/>
        </w:rPr>
        <w:t>Austelle, C. W., O'Leary, G. H., Thompson, S., et al. (2022). A comprehensive review of vagus nerve stimulation for depression. Neuromodulation: Technology at the Neural Interface, 25(3). https://doi.org/10.1111/ner.13528</w:t>
      </w:r>
    </w:p>
    <w:p>
      <w:pPr>
        <w:pStyle w:val="ListNumber"/>
        <w:spacing w:line="240" w:lineRule="auto" w:after="60"/>
        <w:ind w:left="360" w:hanging="360"/>
      </w:pPr>
      <w:r>
        <w:rPr>
          <w:rFonts w:ascii="Times New Roman" w:hAnsi="Times New Roman"/>
          <w:sz w:val="22"/>
        </w:rPr>
        <w:t>Bravo, J. A., Forsythe, P., Chew, M. V., et al. (2011). Ingestion of Lactobacillus strain regulates emotional behavior and central GABA receptor expression in a mouse via the vagus nerve. Proceedings of the National Academy of Sciences, 108(38). https://doi.org/10.1073/pnas.1102999108</w:t>
      </w:r>
    </w:p>
    <w:p>
      <w:pPr>
        <w:pStyle w:val="ListNumber"/>
        <w:spacing w:line="240" w:lineRule="auto" w:after="60"/>
        <w:ind w:left="360" w:hanging="360"/>
      </w:pPr>
      <w:r>
        <w:rPr>
          <w:rFonts w:ascii="Times New Roman" w:hAnsi="Times New Roman"/>
          <w:sz w:val="22"/>
        </w:rPr>
        <w:t>Cavaliere, G., Catapano, A., Trinchese, G., et al. (2022). Butyrate improves neuroinflammation and mitochondrial impairment in cerebral cortex and synaptic fraction in an animal model of diet-induced obesity. Antioxidants, 12(1), 4. https://doi.org/10.3390/antiox12010004</w:t>
      </w:r>
    </w:p>
    <w:p>
      <w:pPr>
        <w:pStyle w:val="ListNumber"/>
        <w:spacing w:line="240" w:lineRule="auto" w:after="60"/>
        <w:ind w:left="360" w:hanging="360"/>
      </w:pPr>
      <w:r>
        <w:rPr>
          <w:rFonts w:ascii="Times New Roman" w:hAnsi="Times New Roman"/>
          <w:sz w:val="22"/>
        </w:rPr>
        <w:t>Grüter, T., Mohamad, N., Rilke, N., et al. (2023). Propionate exerts neuroprotective and neuroregenerative effects in the peripheral nervous system. Proceedings of the National Academy of Sciences, 120(4). https://doi.org/10.1073/pnas.2216941120</w:t>
      </w:r>
    </w:p>
    <w:p>
      <w:pPr>
        <w:pStyle w:val="ListNumber"/>
        <w:spacing w:line="240" w:lineRule="auto" w:after="60"/>
        <w:ind w:left="360" w:hanging="360"/>
      </w:pPr>
      <w:r>
        <w:rPr>
          <w:rFonts w:ascii="Times New Roman" w:hAnsi="Times New Roman"/>
          <w:sz w:val="22"/>
        </w:rPr>
        <w:t>Hoyles, T., Snelling, T., Umlai, U.-K., et al. (2018). Microbiome-host systems interactions: Protective effects of propionate upon the blood-brain barrier. Microbiome, 6. https://doi.org/10.1186/s40168-018-0439-y</w:t>
      </w:r>
    </w:p>
    <w:p>
      <w:pPr>
        <w:pStyle w:val="ListNumber"/>
        <w:spacing w:line="240" w:lineRule="auto" w:after="60"/>
        <w:ind w:left="360" w:hanging="360"/>
      </w:pPr>
      <w:r>
        <w:rPr>
          <w:rFonts w:ascii="Times New Roman" w:hAnsi="Times New Roman"/>
          <w:sz w:val="22"/>
        </w:rPr>
        <w:t>Jiang, H.-Y., Zhou, Y.-Y., Zhou, G.-L., et al. (2018). Gut microbiota profiles in treatment-naïve children with attention deficit hyperactivity disorder. Behavioural Brain Research, 347, 408–413. https://doi.org/10.1016/j.bbr.2018.03.036</w:t>
      </w:r>
    </w:p>
    <w:p>
      <w:pPr>
        <w:pStyle w:val="ListNumber"/>
        <w:spacing w:line="240" w:lineRule="auto" w:after="60"/>
        <w:ind w:left="360" w:hanging="360"/>
      </w:pPr>
      <w:r>
        <w:rPr>
          <w:rFonts w:ascii="Times New Roman" w:hAnsi="Times New Roman"/>
          <w:sz w:val="22"/>
        </w:rPr>
        <w:t>Johnstone, N., Milesi, C., Burn, O., et al. (2021). Anxiolytic effects of a galacto-oligosaccharides prebiotic in healthy females (18–25 years) with corresponding changes in gut bacterial composition. Scientific Reports, 11(1). https://doi.org/10.1038/s41598-021-87865-w</w:t>
      </w:r>
    </w:p>
    <w:p>
      <w:pPr>
        <w:pStyle w:val="ListNumber"/>
        <w:spacing w:line="240" w:lineRule="auto" w:after="60"/>
        <w:ind w:left="360" w:hanging="360"/>
      </w:pPr>
      <w:r>
        <w:rPr>
          <w:rFonts w:ascii="Times New Roman" w:hAnsi="Times New Roman"/>
          <w:sz w:val="22"/>
        </w:rPr>
        <w:t>Pärtty, A., Kalliomäki, M., Wacklin, P., et al. (2015). A possible link between early probiotic intervention and the risk of neuropsychiatric disorders later in childhood: A randomized trial. Pediatric Research, 77(6), 823–828. https://doi.org/10.1038/pr.2015.51</w:t>
      </w:r>
    </w:p>
    <w:p>
      <w:pPr>
        <w:pStyle w:val="ListNumber"/>
        <w:spacing w:line="240" w:lineRule="auto" w:after="60"/>
        <w:ind w:left="360" w:hanging="360"/>
      </w:pPr>
      <w:r>
        <w:rPr>
          <w:rFonts w:ascii="Times New Roman" w:hAnsi="Times New Roman"/>
          <w:sz w:val="22"/>
        </w:rPr>
        <w:t>Prehn-Kristensen, A., Zimmermann, A., Tittmann, L., et al. (2018). Reduced microbiome alpha diversity in young patients with ADHD. PLOS ONE, 13(7). https://doi.org/10.1371/journal.pone.0200728</w:t>
      </w:r>
    </w:p>
    <w:p>
      <w:pPr>
        <w:pStyle w:val="ListNumber"/>
        <w:spacing w:line="240" w:lineRule="auto" w:after="60"/>
        <w:ind w:left="360" w:hanging="360"/>
      </w:pPr>
      <w:r>
        <w:rPr>
          <w:rFonts w:ascii="Times New Roman" w:hAnsi="Times New Roman"/>
          <w:sz w:val="22"/>
        </w:rPr>
        <w:t>Rose, S., Bennuri, S. C., Davis, J. E., et al. (2018). Butyrate enhances mitochondrial function during oxidative stress in cell lines from boys with autism. Translational Psychiatry, 8(1). https://doi.org/10.1038/s41398-017-0089-z</w:t>
      </w:r>
    </w:p>
    <w:p>
      <w:pPr>
        <w:pStyle w:val="ListNumber"/>
        <w:spacing w:line="240" w:lineRule="auto" w:after="60"/>
        <w:ind w:left="360" w:hanging="360"/>
      </w:pPr>
      <w:r>
        <w:rPr>
          <w:rFonts w:ascii="Times New Roman" w:hAnsi="Times New Roman"/>
          <w:sz w:val="22"/>
        </w:rPr>
        <w:t>Schleupner, H. V., &amp; Carmichael, M. J. (2022). Attention-deficit/hyperactivity disorder and the gut microbiota–gut–brain axis: Closing research gaps through female inclusion in study design. Women, 2(3). https://doi.org/10.3390/women2030023</w:t>
      </w:r>
    </w:p>
    <w:p>
      <w:pPr>
        <w:pStyle w:val="ListNumber"/>
        <w:spacing w:line="240" w:lineRule="auto" w:after="60"/>
        <w:ind w:left="360" w:hanging="360"/>
      </w:pPr>
      <w:r>
        <w:rPr>
          <w:rFonts w:ascii="Times New Roman" w:hAnsi="Times New Roman"/>
          <w:sz w:val="22"/>
        </w:rPr>
        <w:t>Schmidt, K., Cowen, P. J., Harmer, C. J., et al. (2015). Prebiotic intake reduces the waking cortisol response and alters emotional bias in healthy volunteers. Psychopharmacology, 232(10), 1793–1801. https://doi.org/10.1007/s00213-014-3810-0</w:t>
      </w:r>
    </w:p>
    <w:p>
      <w:pPr>
        <w:pStyle w:val="ListNumber"/>
        <w:spacing w:line="240" w:lineRule="auto" w:after="60"/>
        <w:ind w:left="360" w:hanging="360"/>
      </w:pPr>
      <w:r>
        <w:rPr>
          <w:rFonts w:ascii="Times New Roman" w:hAnsi="Times New Roman"/>
          <w:sz w:val="22"/>
        </w:rPr>
        <w:t>Silva, Y. P., Bernardi, A., &amp; Frozza, R. L. (2020). The role of short-chain fatty acids from gut microbiota in gut-brain communication. Frontiers in Endocrinology, 11, 25. https://doi.org/10.3389/fendo.2020.00025</w:t>
      </w:r>
    </w:p>
    <w:p>
      <w:pPr>
        <w:pStyle w:val="ListNumber"/>
        <w:spacing w:line="240" w:lineRule="auto" w:after="60"/>
        <w:ind w:left="360" w:hanging="360"/>
      </w:pPr>
      <w:r>
        <w:rPr>
          <w:rFonts w:ascii="Times New Roman" w:hAnsi="Times New Roman"/>
          <w:sz w:val="22"/>
        </w:rPr>
        <w:t>Steckler, R., Magzal, F., Kokot, M., et al. (2024). Disrupted gut harmony in attention-deficit/hyperactivity disorder: Dysbiosis and decreased short-chain fatty acids. Brain, Behavior, &amp; Immunity—Health, 40, 100829. https://doi.org/10.1016/j.bbih.2024.100829</w:t>
      </w:r>
    </w:p>
    <w:p>
      <w:pPr>
        <w:pStyle w:val="ListNumber"/>
        <w:spacing w:line="240" w:lineRule="auto" w:after="60"/>
        <w:ind w:left="360" w:hanging="360"/>
      </w:pPr>
      <w:r>
        <w:rPr>
          <w:rFonts w:ascii="Times New Roman" w:hAnsi="Times New Roman"/>
          <w:sz w:val="22"/>
        </w:rPr>
        <w:t>Wang, L.-J., Yang, C.-Y., Kuo, H.-C., et al. (2022). Effect of Bifidobacterium bifidum on clinical characteristics and gut microbiota in attention-deficit/hyperactivity disorder. Journal of Personalized Medicine, 12(2), 227. https://doi.org/10.3390/jpm12020227</w:t>
      </w:r>
    </w:p>
    <w:p>
      <w:pPr>
        <w:pStyle w:val="ListNumber"/>
        <w:spacing w:line="240" w:lineRule="auto" w:after="60"/>
        <w:ind w:left="360" w:hanging="360"/>
      </w:pPr>
      <w:r>
        <w:rPr>
          <w:rFonts w:ascii="Times New Roman" w:hAnsi="Times New Roman"/>
          <w:sz w:val="22"/>
        </w:rPr>
        <w:t>Wastyk, H. C., Fragiadakis, G. K., Perelman, D., et al. (2021). Gut-microbiota-targeted diets modulate human immune status. Cell, 184(16), 4137–4153.e14. https://doi.org/10.1016/j.cell.2021.06.019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