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Framework: Biological Regulatory System Summaries — ADHD Evidence and Translational Relevance</w:t>
      </w:r>
    </w:p>
    <w:p>
      <w:pPr>
        <w:spacing w:line="480" w:lineRule="auto" w:after="240"/>
      </w:pPr>
      <w:r>
        <w:rPr>
          <w:rFonts w:ascii="Times New Roman" w:hAnsi="Times New Roman"/>
          <w:sz w:val="24"/>
        </w:rPr>
        <w:t>Prepared for Miguel. Each BRS section establishes the scientific identity of a Biological Regulatory System in ADHD and argues for its biological plausibility and modifiability. The objective is not to catalogue Primary Mechanisms or provide representative PM evidence. Landmark ADHD studies are selected to justify Functional Mechanisms and the BRS as a whole. Cross-BRS relationships are supported by landmark mechanistic reviews from scripts/data/brs-cross-integration-evidence.json. Schema: system/brs-adhd-manuscript-summary-schema.md (v2.1). Cross-BRS relationships are implemented on BRS hub pages and sourced from scripts/data/brs-cross-integration-evidence.json.</w:t>
      </w:r>
    </w:p>
    <w:p>
      <w:pPr>
        <w:pStyle w:val="Heading1"/>
      </w:pPr>
      <w:r>
        <w:t>Allostasis as a complementary organising model</w:t>
      </w:r>
    </w:p>
    <w:p>
      <w:pPr>
        <w:spacing w:line="480" w:lineRule="auto" w:after="120"/>
      </w:pPr>
      <w:r>
        <w:rPr>
          <w:rFonts w:ascii="Times New Roman" w:hAnsi="Times New Roman"/>
          <w:sz w:val="24"/>
        </w:rPr>
        <w:t>The BRAIN Framework does not propose allostatic load as a primary explanation of ADHD. Instead, it uses allostatic theory as a complementary organising model for understanding how ADHD-relevant biological systems may contribute to adaptive capacity, resilience, and regulatory burden. Neural, autonomic, endocrine, immune, and metabolic systems coordinate responses to environmental, behavioural, and physiological demand. When these responses are repeatedly activated, poorly resolved, or chronically dysregulated, regulatory burden can accumulate — shifting biological set-points and influencing cognition, emotion, fatigue, reward processing, and treatment response.</w:t>
      </w:r>
    </w:p>
    <w:p>
      <w:pPr>
        <w:spacing w:line="480" w:lineRule="auto" w:after="120"/>
      </w:pPr>
      <w:r>
        <w:rPr>
          <w:rFonts w:ascii="Times New Roman" w:hAnsi="Times New Roman"/>
          <w:sz w:val="24"/>
        </w:rPr>
        <w:t>BRS6 — Metabolic &amp; Neuroendocrine Regulation — provides the principal gateway to allostatic theory because it integrates HPA-axis rhythm, autonomic balance, glycaemic stability, and stress-linked metabolic allocation. However, effective adaptation depends on the coordinated performance of all six Biological Regulatory Systems. Each BRS summary below establishes the scientific identity of that system in ADHD and explains how it may shape modifiable biology and adaptive capacity.</w:t>
      </w:r>
    </w:p>
    <w:p>
      <w:pPr>
        <w:pStyle w:val="Heading2"/>
      </w:pPr>
      <w:r>
        <w:t>Foundational allostasis references</w:t>
      </w:r>
    </w:p>
    <w:p>
      <w:pPr>
        <w:pStyle w:val="ListNumber"/>
        <w:spacing w:line="240" w:lineRule="auto"/>
      </w:pPr>
      <w:r>
        <w:rPr>
          <w:rFonts w:ascii="Times New Roman" w:hAnsi="Times New Roman"/>
          <w:sz w:val="22"/>
        </w:rPr>
        <w:t>Sterling, P., &amp; Eyer, J. (1988). Allostasis: A new paradigm to explain arousal pathology. In S. Fisher &amp; J. Reason (Eds.), Handbook of Life Stress, Cognition and Health. Wiley.</w:t>
      </w:r>
    </w:p>
    <w:p>
      <w:pPr>
        <w:pStyle w:val="ListNumber"/>
        <w:spacing w:line="240" w:lineRule="auto"/>
      </w:pPr>
      <w:r>
        <w:rPr>
          <w:rFonts w:ascii="Times New Roman" w:hAnsi="Times New Roman"/>
          <w:sz w:val="22"/>
        </w:rPr>
        <w:t>McEwen, B. S. (1998). Protective and damaging effects of stress mediators. New England Journal of Medicine, 338(3), 171–179. https://doi.org/10.1056/NEJM199801083380307</w:t>
      </w:r>
    </w:p>
    <w:p>
      <w:pPr>
        <w:pStyle w:val="ListNumber"/>
        <w:spacing w:line="240" w:lineRule="auto"/>
      </w:pPr>
      <w:r>
        <w:rPr>
          <w:rFonts w:ascii="Times New Roman" w:hAnsi="Times New Roman"/>
          <w:sz w:val="22"/>
        </w:rPr>
        <w:t>McEwen, B. S. (2006). Protective and damaging effects of stress mediators: Central role of the brain. Dialogues in Clinical Neuroscience, 8(4), 367–381. https://doi.org/10.31887/DCNS.2006.8.4/bmcewen</w:t>
      </w:r>
    </w:p>
    <w:p>
      <w:r>
        <w:br w:type="page"/>
      </w:r>
    </w:p>
    <w:p>
      <w:pPr>
        <w:pStyle w:val="Heading1"/>
      </w:pPr>
      <w:r>
        <w:rPr>
          <w:sz w:val="28"/>
        </w:rPr>
        <w:t>BRS1 — Neurotransmitter Regulation: Biological Regulatory Identity and ADHD-Relevant Evidence</w:t>
      </w:r>
    </w:p>
    <w:p>
      <w:pPr>
        <w:pStyle w:val="Heading2"/>
      </w:pPr>
      <w:r>
        <w:rPr>
          <w:sz w:val="26"/>
        </w:rPr>
        <w:t>Biological Regulatory System identity</w:t>
      </w:r>
    </w:p>
    <w:p>
      <w:pPr>
        <w:spacing w:line="480" w:lineRule="auto" w:after="120"/>
      </w:pPr>
      <w:r>
        <w:rPr>
          <w:rFonts w:ascii="Times New Roman" w:hAnsi="Times New Roman"/>
          <w:sz w:val="24"/>
        </w:rPr>
        <w:t>BRS1 (Neurotransmitter Regulation) describes the integrated capacity to sustain balanced chemical signalling across the major neurotransmitter systems that underpin attention, motivation, arousal, learning, and behavioural control. Its Functional Mechanisms — BRS1(FM1) Monoaminergic Function, BRS1(FM2) Cholinergic Function, BRS1(FM3) Membrane Lipid Integrity, and BRS1(FM4) GABA–Glutamate Regulation — represent interacting regulatory domains rather than isolated transmitter deficits. ADHD biology is more plausibly understood as heterogeneous dysregulation across these systems than as a single dopamine abnormality.</w:t>
      </w:r>
    </w:p>
    <w:p>
      <w:pPr>
        <w:pStyle w:val="Heading2"/>
      </w:pPr>
      <w:r>
        <w:rPr>
          <w:sz w:val="26"/>
        </w:rPr>
        <w:t>Landmark ADHD evidence</w:t>
      </w:r>
    </w:p>
    <w:p>
      <w:pPr>
        <w:spacing w:line="480" w:lineRule="auto" w:after="120"/>
        <w:ind w:left="360"/>
      </w:pPr>
      <w:r>
        <w:rPr>
          <w:rFonts w:ascii="Times New Roman" w:hAnsi="Times New Roman"/>
          <w:b/>
          <w:sz w:val="24"/>
        </w:rPr>
        <w:t xml:space="preserve">1. MacDonald et al. (2024) — </w:t>
      </w:r>
      <w:r>
        <w:rPr>
          <w:rFonts w:ascii="Times New Roman" w:hAnsi="Times New Roman"/>
          <w:sz w:val="24"/>
        </w:rPr>
        <w:t xml:space="preserve">What they found: Human and animal evidence review concludes that dopaminergic alterations in ADHD vary by subtype, developmental stage, and brain region — reframing ADHD as heterogeneous monoaminergic dysregulation rather than simple global hypo-dopaminergia. </w:t>
      </w:r>
      <w:r>
        <w:rPr>
          <w:rFonts w:ascii="Times New Roman" w:hAnsi="Times New Roman"/>
          <w:i/>
          <w:sz w:val="24"/>
        </w:rPr>
        <w:t>Why this matters for the BRS: Defines BRS1(FM1) Monoaminergic Function as a meaningful, context-dependent regulatory domain in ADHD — establishing neurotransmission as an integrated capacity, not a single-transmitter disorder.</w:t>
      </w:r>
    </w:p>
    <w:p>
      <w:pPr>
        <w:spacing w:line="480" w:lineRule="auto" w:after="120"/>
        <w:ind w:left="360"/>
      </w:pPr>
      <w:r>
        <w:rPr>
          <w:rFonts w:ascii="Times New Roman" w:hAnsi="Times New Roman"/>
          <w:b/>
          <w:sz w:val="24"/>
        </w:rPr>
        <w:t xml:space="preserve">2. Johansson et al. (2013) — </w:t>
      </w:r>
      <w:r>
        <w:rPr>
          <w:rFonts w:ascii="Times New Roman" w:hAnsi="Times New Roman"/>
          <w:sz w:val="24"/>
        </w:rPr>
        <w:t xml:space="preserve">What they found: Decreased muscarinic acetylcholine receptor binding capacity reported in fibroblasts from boys with ADHD, supporting altered cholinergic biology in neurodevelopmental attention contexts. </w:t>
      </w:r>
      <w:r>
        <w:rPr>
          <w:rFonts w:ascii="Times New Roman" w:hAnsi="Times New Roman"/>
          <w:i/>
          <w:sz w:val="24"/>
        </w:rPr>
        <w:t>Why this matters for the BRS: Anchors BRS1(FM2) Cholinergic Function as a distinct but co-implicated regulatory domain within BRS1 — reinforcing that ADHD involves multiple interacting transmitter systems.</w:t>
      </w:r>
    </w:p>
    <w:p>
      <w:pPr>
        <w:spacing w:line="480" w:lineRule="auto" w:after="120"/>
        <w:ind w:left="360"/>
      </w:pPr>
      <w:r>
        <w:rPr>
          <w:rFonts w:ascii="Times New Roman" w:hAnsi="Times New Roman"/>
          <w:b/>
          <w:sz w:val="24"/>
        </w:rPr>
        <w:t xml:space="preserve">3. Puts et al. (2020) — </w:t>
      </w:r>
      <w:r>
        <w:rPr>
          <w:rFonts w:ascii="Times New Roman" w:hAnsi="Times New Roman"/>
          <w:sz w:val="24"/>
        </w:rPr>
        <w:t xml:space="preserve">What they found: 7T magnetic resonance spectroscopy in unmedicated children with ADHD reported reduced striatal GABA versus typically developing controls. </w:t>
      </w:r>
      <w:r>
        <w:rPr>
          <w:rFonts w:ascii="Times New Roman" w:hAnsi="Times New Roman"/>
          <w:i/>
          <w:sz w:val="24"/>
        </w:rPr>
        <w:t>Why this matters for the BRS: Provides direct ADHD cohort evidence for excitation–inhibition imbalance within BRS1(FM4) GABA–Glutamate Regulation — a landmark anchor for viewing neurotransmission as balanced inhibitory–excitatory capacity.</w:t>
      </w:r>
    </w:p>
    <w:p>
      <w:pPr>
        <w:pStyle w:val="Heading2"/>
      </w:pPr>
      <w:r>
        <w:rPr>
          <w:sz w:val="26"/>
        </w:rPr>
        <w:t>Cross-BRS integration Evidence</w:t>
      </w:r>
    </w:p>
    <w:p>
      <w:pPr>
        <w:spacing w:line="480" w:lineRule="auto" w:after="80"/>
        <w:ind w:left="360"/>
      </w:pPr>
      <w:r>
        <w:rPr>
          <w:rFonts w:ascii="Times New Roman" w:hAnsi="Times New Roman"/>
          <w:b/>
          <w:sz w:val="24"/>
        </w:rPr>
        <w:t xml:space="preserve">1. BRS4 → BRS1 — </w:t>
      </w:r>
      <w:r>
        <w:rPr>
          <w:rFonts w:ascii="Times New Roman" w:hAnsi="Times New Roman"/>
          <w:sz w:val="24"/>
        </w:rPr>
        <w:t>Bioenergetic capacity supports neurotransmitter synthesis, vesicle cycling, membrane potential maintenance and synaptic signalling.</w:t>
      </w:r>
    </w:p>
    <w:p>
      <w:pPr>
        <w:spacing w:line="480" w:lineRule="auto" w:after="80"/>
        <w:ind w:left="720"/>
      </w:pPr>
      <w:r>
        <w:rPr>
          <w:rFonts w:ascii="Times New Roman" w:hAnsi="Times New Roman"/>
          <w:b/>
          <w:sz w:val="24"/>
        </w:rPr>
        <w:t xml:space="preserve">Harris et al. (2012): </w:t>
      </w:r>
      <w:r>
        <w:rPr>
          <w:rFonts w:ascii="Times New Roman" w:hAnsi="Times New Roman"/>
          <w:sz w:val="24"/>
        </w:rPr>
        <w:t>Landmark review establishing that most brain energy is consumed by synaptic transmission and describing how mitochondrial ATP supply constrains presynaptic vesicle cycling, postsynaptic signalling, Na+/K+-ATPase activity, and synaptic plasticity.</w:t>
      </w:r>
    </w:p>
    <w:p>
      <w:pPr>
        <w:spacing w:line="480" w:lineRule="auto" w:after="80"/>
        <w:ind w:left="720"/>
      </w:pPr>
      <w:r>
        <w:rPr>
          <w:rFonts w:ascii="Times New Roman" w:hAnsi="Times New Roman"/>
          <w:b/>
          <w:sz w:val="24"/>
        </w:rPr>
        <w:t xml:space="preserve">Picard (2015): </w:t>
      </w:r>
      <w:r>
        <w:rPr>
          <w:rFonts w:ascii="Times New Roman" w:hAnsi="Times New Roman"/>
          <w:sz w:val="24"/>
        </w:rPr>
        <w:t>Integrative review framing mitochondria as intracellular signal-processing networks at synapses, linking mitochondrial energetics and neuromodulation to neurotransmitter metabolism and coordinated neuronal output.</w:t>
      </w:r>
    </w:p>
    <w:p>
      <w:pPr>
        <w:spacing w:line="480" w:lineRule="auto" w:after="80"/>
        <w:ind w:left="360"/>
      </w:pPr>
      <w:r>
        <w:rPr>
          <w:rFonts w:ascii="Times New Roman" w:hAnsi="Times New Roman"/>
          <w:b/>
          <w:sz w:val="24"/>
        </w:rPr>
        <w:t xml:space="preserve">2. BRS3 → BRS1 — </w:t>
      </w:r>
      <w:r>
        <w:rPr>
          <w:rFonts w:ascii="Times New Roman" w:hAnsi="Times New Roman"/>
          <w:sz w:val="24"/>
        </w:rPr>
        <w:t>Inflammatory and oxidative burden modulate neurotransmitter synthesis, metabolism and excitation–inhibition balance.</w:t>
      </w:r>
    </w:p>
    <w:p>
      <w:pPr>
        <w:spacing w:line="480" w:lineRule="auto" w:after="80"/>
        <w:ind w:left="720"/>
      </w:pPr>
      <w:r>
        <w:rPr>
          <w:rFonts w:ascii="Times New Roman" w:hAnsi="Times New Roman"/>
          <w:b/>
          <w:sz w:val="24"/>
        </w:rPr>
        <w:t xml:space="preserve">Slavich &amp; Irwin (2014): </w:t>
      </w:r>
      <w:r>
        <w:rPr>
          <w:rFonts w:ascii="Times New Roman" w:hAnsi="Times New Roman"/>
          <w:sz w:val="24"/>
        </w:rPr>
        <w:t>Landmark integrative review describing how pro-inflammatory cytokine signalling alters central nervous system function, monoamine-related behaviour, and neurotransmitter biology downstream of immune activation.</w:t>
      </w:r>
    </w:p>
    <w:p>
      <w:pPr>
        <w:spacing w:line="480" w:lineRule="auto" w:after="80"/>
        <w:ind w:left="720"/>
      </w:pPr>
      <w:r>
        <w:rPr>
          <w:rFonts w:ascii="Times New Roman" w:hAnsi="Times New Roman"/>
          <w:b/>
          <w:sz w:val="24"/>
        </w:rPr>
        <w:t xml:space="preserve">Savitz (2019): </w:t>
      </w:r>
      <w:r>
        <w:rPr>
          <w:rFonts w:ascii="Times New Roman" w:hAnsi="Times New Roman"/>
          <w:sz w:val="24"/>
        </w:rPr>
        <w:t>Comprehensive kynurenine-pathway review linking immune activation to glutamatergic and GABAergic neurotransmission, NMDA receptor signalling, and excitation–inhibition balance — a principal mechanistic bridge between inflammation and neurotransmitter regulation.</w:t>
      </w:r>
    </w:p>
    <w:p>
      <w:pPr>
        <w:spacing w:line="480" w:lineRule="auto" w:after="80"/>
        <w:ind w:left="360"/>
      </w:pPr>
      <w:r>
        <w:rPr>
          <w:rFonts w:ascii="Times New Roman" w:hAnsi="Times New Roman"/>
          <w:b/>
          <w:sz w:val="24"/>
        </w:rPr>
        <w:t xml:space="preserve">3. BRS6 → BRS1 — </w:t>
      </w:r>
      <w:r>
        <w:rPr>
          <w:rFonts w:ascii="Times New Roman" w:hAnsi="Times New Roman"/>
          <w:sz w:val="24"/>
        </w:rPr>
        <w:t>HPA-axis regulation, autonomic balance and glycaemic stability shape neurotransmitter signalling during stress and cognitive demand.</w:t>
      </w:r>
    </w:p>
    <w:p>
      <w:pPr>
        <w:spacing w:line="480" w:lineRule="auto" w:after="80"/>
        <w:ind w:left="720"/>
      </w:pPr>
      <w:r>
        <w:rPr>
          <w:rFonts w:ascii="Times New Roman" w:hAnsi="Times New Roman"/>
          <w:b/>
          <w:sz w:val="24"/>
        </w:rPr>
        <w:t xml:space="preserve">McEwen (1998): </w:t>
      </w:r>
      <w:r>
        <w:rPr>
          <w:rFonts w:ascii="Times New Roman" w:hAnsi="Times New Roman"/>
          <w:sz w:val="24"/>
        </w:rPr>
        <w:t>Foundational review of how stress mediators — particularly cortisol dynamics — protect and damage brain structure and function, with direct implications for neurotransmitter systems and cognitive performance under adaptive demand.</w:t>
      </w:r>
    </w:p>
    <w:p>
      <w:pPr>
        <w:spacing w:line="480" w:lineRule="auto" w:after="80"/>
        <w:ind w:left="720"/>
      </w:pPr>
      <w:r>
        <w:rPr>
          <w:rFonts w:ascii="Times New Roman" w:hAnsi="Times New Roman"/>
          <w:b/>
          <w:sz w:val="24"/>
        </w:rPr>
        <w:t xml:space="preserve">Thayer et al. (2012): </w:t>
      </w:r>
      <w:r>
        <w:rPr>
          <w:rFonts w:ascii="Times New Roman" w:hAnsi="Times New Roman"/>
          <w:sz w:val="24"/>
        </w:rPr>
        <w:t>Meta-analytic review linking autonomic regulation (heart-rate variability) to stress neurobiology, cortisol dynamics, and central nervous system function — supporting autonomic–neurotransmitter coupling under load.</w:t>
      </w:r>
    </w:p>
    <w:p>
      <w:pPr>
        <w:spacing w:line="480" w:lineRule="auto" w:after="80"/>
        <w:ind w:left="360"/>
      </w:pPr>
      <w:r>
        <w:rPr>
          <w:rFonts w:ascii="Times New Roman" w:hAnsi="Times New Roman"/>
          <w:b/>
          <w:sz w:val="24"/>
        </w:rPr>
        <w:t xml:space="preserve">4. BRS2 → BRS1 — </w:t>
      </w:r>
      <w:r>
        <w:rPr>
          <w:rFonts w:ascii="Times New Roman" w:hAnsi="Times New Roman"/>
          <w:sz w:val="24"/>
        </w:rPr>
        <w:t>One-carbon metabolism and BH4-dependent cofactor chemistry support monoamine synthesis, membrane methylation and neurotransmitter precursor handling.</w:t>
      </w:r>
    </w:p>
    <w:p>
      <w:pPr>
        <w:spacing w:line="480" w:lineRule="auto" w:after="80"/>
        <w:ind w:left="720"/>
      </w:pPr>
      <w:r>
        <w:rPr>
          <w:rFonts w:ascii="Times New Roman" w:hAnsi="Times New Roman"/>
          <w:b/>
          <w:sz w:val="24"/>
        </w:rPr>
        <w:t xml:space="preserve">Fanet et al. (2021): </w:t>
      </w:r>
      <w:r>
        <w:rPr>
          <w:rFonts w:ascii="Times New Roman" w:hAnsi="Times New Roman"/>
          <w:sz w:val="24"/>
        </w:rPr>
        <w:t>Mechanistic review of tetrahydrobiopterin (BH4) as an essential cofactor for dopamine and serotonin synthesis, linking one-carbon–adjacent cofactor biology to central neurotransmission and inflammatory–oxidative modulation of monoamine pathways.</w:t>
      </w:r>
    </w:p>
    <w:p>
      <w:pPr>
        <w:spacing w:line="480" w:lineRule="auto" w:after="80"/>
        <w:ind w:left="720"/>
      </w:pPr>
      <w:r>
        <w:rPr>
          <w:rFonts w:ascii="Times New Roman" w:hAnsi="Times New Roman"/>
          <w:b/>
          <w:sz w:val="24"/>
        </w:rPr>
        <w:t xml:space="preserve">Kennedy (2016): </w:t>
      </w:r>
      <w:r>
        <w:rPr>
          <w:rFonts w:ascii="Times New Roman" w:hAnsi="Times New Roman"/>
          <w:sz w:val="24"/>
        </w:rPr>
        <w:t>Integrative review of B-vitamin roles in brain function, including methylation-dependent synthesis of neurochemicals and signalling molecules that underpin monoaminergic and wider neurotransmitter biology.</w:t>
      </w:r>
    </w:p>
    <w:p>
      <w:pPr>
        <w:spacing w:line="480" w:lineRule="auto" w:after="80"/>
        <w:ind w:left="360"/>
      </w:pPr>
      <w:r>
        <w:rPr>
          <w:rFonts w:ascii="Times New Roman" w:hAnsi="Times New Roman"/>
          <w:b/>
          <w:sz w:val="24"/>
        </w:rPr>
        <w:t xml:space="preserve">5. BRS5 → BRS1 — </w:t>
      </w:r>
      <w:r>
        <w:rPr>
          <w:rFonts w:ascii="Times New Roman" w:hAnsi="Times New Roman"/>
          <w:sz w:val="24"/>
        </w:rPr>
        <w:t>Gut-derived microbial metabolites and vagal signalling modulate central neurotransmitter receptor expression and stress-linked neurochemical regulation.</w:t>
      </w:r>
    </w:p>
    <w:p>
      <w:pPr>
        <w:spacing w:line="480" w:lineRule="auto" w:after="80"/>
        <w:ind w:left="720"/>
      </w:pPr>
      <w:r>
        <w:rPr>
          <w:rFonts w:ascii="Times New Roman" w:hAnsi="Times New Roman"/>
          <w:b/>
          <w:sz w:val="24"/>
        </w:rPr>
        <w:t xml:space="preserve">Bravo et al. (2011): </w:t>
      </w:r>
      <w:r>
        <w:rPr>
          <w:rFonts w:ascii="Times New Roman" w:hAnsi="Times New Roman"/>
          <w:sz w:val="24"/>
        </w:rPr>
        <w:t>Landmark experimental demonstration that gut microbiota modulate central GABA receptor expression and stress-related neurochemistry via the vagus nerve — a foundational gut–brain neurotransmitter mechanism.</w:t>
      </w:r>
    </w:p>
    <w:p>
      <w:pPr>
        <w:spacing w:line="480" w:lineRule="auto" w:after="80"/>
        <w:ind w:left="720"/>
      </w:pPr>
      <w:r>
        <w:rPr>
          <w:rFonts w:ascii="Times New Roman" w:hAnsi="Times New Roman"/>
          <w:b/>
          <w:sz w:val="24"/>
        </w:rPr>
        <w:t xml:space="preserve">Jaggar et al. (2020): </w:t>
      </w:r>
      <w:r>
        <w:rPr>
          <w:rFonts w:ascii="Times New Roman" w:hAnsi="Times New Roman"/>
          <w:sz w:val="24"/>
        </w:rPr>
        <w:t>Integrative microbiota–gut–brain axis review synthesising how microbial metabolites, immune signalling, and vagal pathways influence central nervous system function and neurotransmitter-related behaviour.</w:t>
      </w:r>
    </w:p>
    <w:p>
      <w:pPr>
        <w:pStyle w:val="Heading2"/>
      </w:pPr>
      <w:r>
        <w:rPr>
          <w:sz w:val="26"/>
        </w:rPr>
        <w:t>Translational interpretation</w:t>
      </w:r>
    </w:p>
    <w:p>
      <w:pPr>
        <w:spacing w:line="480" w:lineRule="auto" w:after="120"/>
      </w:pPr>
      <w:r>
        <w:rPr>
          <w:rFonts w:ascii="Times New Roman" w:hAnsi="Times New Roman"/>
          <w:sz w:val="24"/>
        </w:rPr>
        <w:t>Converging ADHD evidence across monoaminergic heterogeneity, cholinergic disturbance, and GABA–glutamate imbalance supports treating neurotransmitter regulation as an integrated biological system rather than isolated transmitter abnormalities. This makes BRS1 a biologically plausible and modifiable regulatory domain for ADHD: nutritional strategies may influence precursor availability, membrane composition, cholinergic context, and excitation–inhibition balance as coordinated inputs to signalling capacity.</w:t>
      </w:r>
    </w:p>
    <w:p>
      <w:pPr>
        <w:spacing w:line="480" w:lineRule="auto" w:after="120"/>
      </w:pPr>
      <w:r>
        <w:rPr>
          <w:rFonts w:ascii="Times New Roman" w:hAnsi="Times New Roman"/>
          <w:sz w:val="24"/>
        </w:rPr>
        <w:t>For adaptive capacity, BRS1 contributes neurochemical flexibility supporting attention, motivation, arousal, and behavioural control under fluctuating demand. When upstream systems are strained, neurotransmitter regulation bears disproportionate load — as described in Cross-BRS integration Evidence. Regulating BRS1 therefore has ADHD relevance not only for symptom biology but for maintaining resilient neurochemical performance when regulatory burden rises.</w:t>
      </w:r>
    </w:p>
    <w:p>
      <w:pPr>
        <w:pStyle w:val="Heading2"/>
      </w:pPr>
      <w:r>
        <w:t>References</w:t>
      </w:r>
    </w:p>
    <w:p>
      <w:pPr>
        <w:pStyle w:val="ListNumber"/>
        <w:spacing w:line="240" w:lineRule="auto" w:after="60"/>
        <w:ind w:left="360" w:hanging="360"/>
      </w:pPr>
      <w:r>
        <w:rPr>
          <w:rFonts w:ascii="Times New Roman" w:hAnsi="Times New Roman"/>
          <w:sz w:val="22"/>
        </w:rPr>
        <w:t>MacDonald, H. J., Kleppe, R., Szigetvari, P. D., &amp; Haavik, J. (2024). The dopamine hypothesis for ADHD: An evaluation of evidence accumulated from human studies and animal models. Frontiers in Psychiatry, 15. https://doi.org/10.3389/fpsyt.2024.1492126</w:t>
      </w:r>
    </w:p>
    <w:p>
      <w:pPr>
        <w:pStyle w:val="ListNumber"/>
        <w:spacing w:line="240" w:lineRule="auto" w:after="60"/>
        <w:ind w:left="360" w:hanging="360"/>
      </w:pPr>
      <w:r>
        <w:rPr>
          <w:rFonts w:ascii="Times New Roman" w:hAnsi="Times New Roman"/>
          <w:sz w:val="22"/>
        </w:rPr>
        <w:t>Johansson, J., Landgren, M., Fernell, E., Lewander, T., &amp; Venizelos, N. (2013). Decreased binding capacity (Bmax) of muscarinic acetylcholine receptors in fibroblasts from boys with ADHD. ADHD Attention Deficit and Hyperactivity Disorders, 5(3), 267–271. https://doi.org/10.1007/s12402-013-0103-0</w:t>
      </w:r>
    </w:p>
    <w:p>
      <w:pPr>
        <w:pStyle w:val="ListNumber"/>
        <w:spacing w:line="240" w:lineRule="auto" w:after="60"/>
        <w:ind w:left="360" w:hanging="360"/>
      </w:pPr>
      <w:r>
        <w:rPr>
          <w:rFonts w:ascii="Times New Roman" w:hAnsi="Times New Roman"/>
          <w:sz w:val="22"/>
        </w:rPr>
        <w:t>Puts, N. A. J., Ryan, M., Oeltzschner, G., et al. (2020). Reduced striatal GABA in unmedicated children with ADHD at 7T. Psychiatry Research: Neuroimaging, 301, 111082. https://doi.org/10.1016/j.pscychresns.2020.111082</w:t>
      </w:r>
    </w:p>
    <w:p>
      <w:pPr>
        <w:pStyle w:val="ListNumber"/>
        <w:spacing w:line="240" w:lineRule="auto" w:after="60"/>
        <w:ind w:left="360" w:hanging="360"/>
      </w:pPr>
      <w:r>
        <w:rPr>
          <w:rFonts w:ascii="Times New Roman" w:hAnsi="Times New Roman"/>
          <w:sz w:val="22"/>
        </w:rPr>
        <w:t>Edden, R. A. E., Crocetti, D., Zhu, H., Gilbert, D. L., &amp; Mostofsky, S. H. (2012). Reduced GABA concentration in attention-deficit/hyperactivity disorder. Archives of General Psychiatry, 69(7). https://doi.org/10.1001/archgenpsychiatry.2011.2280</w:t>
      </w:r>
    </w:p>
    <w:p>
      <w:pPr>
        <w:pStyle w:val="ListNumber"/>
        <w:spacing w:line="240" w:lineRule="auto" w:after="60"/>
        <w:ind w:left="360" w:hanging="360"/>
      </w:pPr>
      <w:r>
        <w:rPr>
          <w:rFonts w:ascii="Times New Roman" w:hAnsi="Times New Roman"/>
          <w:sz w:val="22"/>
        </w:rPr>
        <w:t>Pei-Chen Chang, J.-P., et al. (2021). Personalised medicine in ADHD: Review of omega-3 polyunsaturated fatty acids. Progress in Neuro-Psychopharmacology and Biological Psychiatry, 110, 110299. https://doi.org/10.1016/j.pnpbp.2021.110299</w:t>
      </w:r>
    </w:p>
    <w:p>
      <w:pPr>
        <w:pStyle w:val="ListNumber"/>
        <w:spacing w:line="240" w:lineRule="auto" w:after="60"/>
        <w:ind w:left="360" w:hanging="360"/>
      </w:pPr>
      <w:r>
        <w:rPr>
          <w:rFonts w:ascii="Times New Roman" w:hAnsi="Times New Roman"/>
          <w:sz w:val="22"/>
        </w:rPr>
        <w:t>Harris, J. J., Jolivet, R., &amp; Attwell, D. (2012). Synaptic energy use and supply. Neuron, 75(5), 762–777. https://doi.org/10.1016/j.neuron.2012.08.019</w:t>
      </w:r>
    </w:p>
    <w:p>
      <w:pPr>
        <w:pStyle w:val="ListNumber"/>
        <w:spacing w:line="240" w:lineRule="auto" w:after="60"/>
        <w:ind w:left="360" w:hanging="360"/>
      </w:pPr>
      <w:r>
        <w:rPr>
          <w:rFonts w:ascii="Times New Roman" w:hAnsi="Times New Roman"/>
          <w:sz w:val="22"/>
        </w:rPr>
        <w:t>Picard, M. (2015). Mitochondrial synapses: Intracellular communication and signal integration. Trends in Neurosciences, 38(8), 468–474. https://doi.org/10.1016/j.tins.2015.06.001</w:t>
      </w:r>
    </w:p>
    <w:p>
      <w:pPr>
        <w:pStyle w:val="ListNumber"/>
        <w:spacing w:line="240" w:lineRule="auto" w:after="60"/>
        <w:ind w:left="360" w:hanging="360"/>
      </w:pPr>
      <w:r>
        <w:rPr>
          <w:rFonts w:ascii="Times New Roman" w:hAnsi="Times New Roman"/>
          <w:sz w:val="22"/>
        </w:rPr>
        <w:t>Slavich, G. M., &amp; Irwin, M. R. (2014). From stress to inflammation and major depressive disorder: A social signal transduction theory of depression. Psychological Bulletin, 140(3), 774–815. https://doi.org/10.1037/a0035302</w:t>
      </w:r>
    </w:p>
    <w:p>
      <w:pPr>
        <w:pStyle w:val="ListNumber"/>
        <w:spacing w:line="240" w:lineRule="auto" w:after="60"/>
        <w:ind w:left="360" w:hanging="360"/>
      </w:pPr>
      <w:r>
        <w:rPr>
          <w:rFonts w:ascii="Times New Roman" w:hAnsi="Times New Roman"/>
          <w:sz w:val="22"/>
        </w:rPr>
        <w:t>Savitz, J. (2019). The kynurenine pathway: A finger in every pie. Molecular Psychiatry, 25(1), 131–147. https://doi.org/10.1038/s41380-019-0414-4</w:t>
      </w:r>
    </w:p>
    <w:p>
      <w:pPr>
        <w:pStyle w:val="ListNumber"/>
        <w:spacing w:line="240" w:lineRule="auto" w:after="60"/>
        <w:ind w:left="360" w:hanging="360"/>
      </w:pPr>
      <w:r>
        <w:rPr>
          <w:rFonts w:ascii="Times New Roman" w:hAnsi="Times New Roman"/>
          <w:sz w:val="22"/>
        </w:rPr>
        <w:t>McEwen, B. S. (1998). Protective and damaging effects of stress mediators. New England Journal of Medicine, 338(3), 171–179. https://doi.org/10.1056/NEJM199801083380307</w:t>
      </w:r>
    </w:p>
    <w:p>
      <w:pPr>
        <w:pStyle w:val="ListNumber"/>
        <w:spacing w:line="240" w:lineRule="auto" w:after="60"/>
        <w:ind w:left="360" w:hanging="360"/>
      </w:pPr>
      <w:r>
        <w:rPr>
          <w:rFonts w:ascii="Times New Roman" w:hAnsi="Times New Roman"/>
          <w:sz w:val="22"/>
        </w:rPr>
        <w:t>Thayer, J. F., Ahs,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ListNumber"/>
        <w:spacing w:line="240" w:lineRule="auto" w:after="60"/>
        <w:ind w:left="360" w:hanging="360"/>
      </w:pPr>
      <w:r>
        <w:rPr>
          <w:rFonts w:ascii="Times New Roman" w:hAnsi="Times New Roman"/>
          <w:sz w:val="22"/>
        </w:rPr>
        <w:t>Fanet, H., Capuron, L., Castanon, N., Calon, F., &amp; Vancassel, S. (2021). Tetrahydrobiopterin (BH4) pathway: From metabolism to neuropsychiatry. Current Neuropharmacology, 19(5), 591–609. https://doi.org/10.2174/1570159X18666200729103529</w:t>
      </w:r>
    </w:p>
    <w:p>
      <w:pPr>
        <w:pStyle w:val="ListNumber"/>
        <w:spacing w:line="240" w:lineRule="auto" w:after="60"/>
        <w:ind w:left="360" w:hanging="360"/>
      </w:pPr>
      <w:r>
        <w:rPr>
          <w:rFonts w:ascii="Times New Roman" w:hAnsi="Times New Roman"/>
          <w:sz w:val="22"/>
        </w:rPr>
        <w:t>Kennedy, D. O. (2016). B vitamins and the brain: Mechanisms, dose and efficacy—A review. Nutrients, 8(2), 68. https://doi.org/10.3390/nu8020068</w:t>
      </w:r>
    </w:p>
    <w:p>
      <w:pPr>
        <w:pStyle w:val="ListNumber"/>
        <w:spacing w:line="240" w:lineRule="auto" w:after="60"/>
        <w:ind w:left="360" w:hanging="360"/>
      </w:pPr>
      <w:r>
        <w:rPr>
          <w:rFonts w:ascii="Times New Roman" w:hAnsi="Times New Roman"/>
          <w:sz w:val="22"/>
        </w:rPr>
        <w:t>Bravo, J. A., Forsythe, P., Chew, M. V., Escaravage, E. M., Savignac, H. M., Dinan, T. G., Bienenstock, J., &amp; Cryan, J. F. (2011). Ingestion of Lactobacillus strain regulates emotional behavior and central GABA receptor expression in a mouse via the vagus nerve. Proceedings of the National Academy of Sciences, 108(38), 16050–16055. https://doi.org/10.1073/pnas.1102999108</w:t>
      </w:r>
    </w:p>
    <w:p>
      <w:pPr>
        <w:pStyle w:val="ListNumber"/>
        <w:spacing w:line="240" w:lineRule="auto" w:after="60"/>
        <w:ind w:left="360" w:hanging="360"/>
      </w:pPr>
      <w:r>
        <w:rPr>
          <w:rFonts w:ascii="Times New Roman" w:hAnsi="Times New Roman"/>
          <w:sz w:val="22"/>
        </w:rPr>
        <w:t>Jaggar, M., Rea, K., Spichak, S., Dinan, T. G., &amp; Cryan, J. F. (2020). You've got male: Sex and the microbiota-gut-brain axis across the lifespan. Frontiers in Neuroendocrinology, 56, 100815. https://doi.org/10.1016/j.yfrne.2019.100815</w:t>
      </w:r>
    </w:p>
    <w:p>
      <w:r>
        <w:br w:type="page"/>
      </w:r>
    </w:p>
    <w:p>
      <w:pPr>
        <w:pStyle w:val="Heading1"/>
      </w:pPr>
      <w:r>
        <w:rPr>
          <w:sz w:val="28"/>
        </w:rPr>
        <w:t>BRS2 — Methylation &amp; One-Carbon Metabolism: Biological Regulatory Identity and ADHD-Relevant Evidence</w:t>
      </w:r>
    </w:p>
    <w:p>
      <w:pPr>
        <w:pStyle w:val="Heading2"/>
      </w:pPr>
      <w:r>
        <w:rPr>
          <w:sz w:val="26"/>
        </w:rPr>
        <w:t>Biological Regulatory System identity</w:t>
      </w:r>
    </w:p>
    <w:p>
      <w:pPr>
        <w:spacing w:line="480" w:lineRule="auto" w:after="120"/>
      </w:pPr>
      <w:r>
        <w:rPr>
          <w:rFonts w:ascii="Times New Roman" w:hAnsi="Times New Roman"/>
          <w:sz w:val="24"/>
        </w:rPr>
        <w:t>BRS2 (Methylation &amp; One-Carbon Metabolism) describes the integrated capacity to maintain methyl-group donor sufficiency, homocysteine handling, transsulfuration-linked redox chemistry, and methylation-dependent membrane formation. Its Functional Mechanisms — BRS2(FM1) Methylation Cycle Efficiency, BRS2(FM2) Transsulfuration &amp; Redox Coupling, and BRS2(FM3) Methylation–Membrane Coupling — form a coupled regulatory network rather than isolated vitamin pathways. Disturbances in one-carbon metabolism may constrain multiple downstream biological capacities simultaneously.</w:t>
      </w:r>
    </w:p>
    <w:p>
      <w:pPr>
        <w:pStyle w:val="Heading2"/>
      </w:pPr>
      <w:r>
        <w:rPr>
          <w:sz w:val="26"/>
        </w:rPr>
        <w:t>Landmark ADHD evidence</w:t>
      </w:r>
    </w:p>
    <w:p>
      <w:pPr>
        <w:spacing w:line="480" w:lineRule="auto" w:after="120"/>
        <w:ind w:left="360"/>
      </w:pPr>
      <w:r>
        <w:rPr>
          <w:rFonts w:ascii="Times New Roman" w:hAnsi="Times New Roman"/>
          <w:b/>
          <w:sz w:val="24"/>
        </w:rPr>
        <w:t xml:space="preserve">1. Razavinia et al. (2024) — </w:t>
      </w:r>
      <w:r>
        <w:rPr>
          <w:rFonts w:ascii="Times New Roman" w:hAnsi="Times New Roman"/>
          <w:sz w:val="24"/>
        </w:rPr>
        <w:t xml:space="preserve">What they found: Meta-analysis in children with ADHD reported lower folate and vitamin B12 status compared with controls. </w:t>
      </w:r>
      <w:r>
        <w:rPr>
          <w:rFonts w:ascii="Times New Roman" w:hAnsi="Times New Roman"/>
          <w:i/>
          <w:sz w:val="24"/>
        </w:rPr>
        <w:t>Why this matters for the BRS: Establishes measurable one-carbon donor insufficiency in ADHD cohorts — supporting BRS2(FM1) Methylation Cycle Efficiency as a biologically plausible regulatory domain, not a single-nutrient association.</w:t>
      </w:r>
    </w:p>
    <w:p>
      <w:pPr>
        <w:spacing w:line="480" w:lineRule="auto" w:after="120"/>
        <w:ind w:left="360"/>
      </w:pPr>
      <w:r>
        <w:rPr>
          <w:rFonts w:ascii="Times New Roman" w:hAnsi="Times New Roman"/>
          <w:b/>
          <w:sz w:val="24"/>
        </w:rPr>
        <w:t xml:space="preserve">2. Lukovac et al. (2024) — </w:t>
      </w:r>
      <w:r>
        <w:rPr>
          <w:rFonts w:ascii="Times New Roman" w:hAnsi="Times New Roman"/>
          <w:sz w:val="24"/>
        </w:rPr>
        <w:t xml:space="preserve">What they found: Paediatric ADHD cohorts showed elevated homocysteine alongside disturbances in B12, vitamin D, ferritin, and iron markers. </w:t>
      </w:r>
      <w:r>
        <w:rPr>
          <w:rFonts w:ascii="Times New Roman" w:hAnsi="Times New Roman"/>
          <w:i/>
          <w:sz w:val="24"/>
        </w:rPr>
        <w:t>Why this matters for the BRS: Homocysteine elevation signals impaired one-carbon flux across BRS2(FM1) and transsulfuration coupling in BRS2(FM2) — anchoring the whole BRS2 network as under strain in ADHD populations.</w:t>
      </w:r>
    </w:p>
    <w:p>
      <w:pPr>
        <w:spacing w:line="480" w:lineRule="auto" w:after="120"/>
        <w:ind w:left="360"/>
      </w:pPr>
      <w:r>
        <w:rPr>
          <w:rFonts w:ascii="Times New Roman" w:hAnsi="Times New Roman"/>
          <w:b/>
          <w:sz w:val="24"/>
        </w:rPr>
        <w:t xml:space="preserve">3. Millichap &amp; Yee (2012) — </w:t>
      </w:r>
      <w:r>
        <w:rPr>
          <w:rFonts w:ascii="Times New Roman" w:hAnsi="Times New Roman"/>
          <w:sz w:val="24"/>
        </w:rPr>
        <w:t xml:space="preserve">What they found: Foundational paediatric review synthesises dietary and nutritional factors implicated in ADHD, including folate, B vitamins, essential fatty acids, and one-carbon-related nutrient patterns. </w:t>
      </w:r>
      <w:r>
        <w:rPr>
          <w:rFonts w:ascii="Times New Roman" w:hAnsi="Times New Roman"/>
          <w:i/>
          <w:sz w:val="24"/>
        </w:rPr>
        <w:t>Why this matters for the BRS: Provides landmark ADHD-focused framing that methylation-relevant nutritional biology is a modifiable context across the integrated BRS2 system — supporting the BRS as a coherent regulatory domain rather than isolated supplement claims.</w:t>
      </w:r>
    </w:p>
    <w:p>
      <w:pPr>
        <w:pStyle w:val="Heading2"/>
      </w:pPr>
      <w:r>
        <w:rPr>
          <w:sz w:val="26"/>
        </w:rPr>
        <w:t>Cross-BRS integration Evidence</w:t>
      </w:r>
    </w:p>
    <w:p>
      <w:pPr>
        <w:spacing w:line="480" w:lineRule="auto" w:after="80"/>
        <w:ind w:left="360"/>
      </w:pPr>
      <w:r>
        <w:rPr>
          <w:rFonts w:ascii="Times New Roman" w:hAnsi="Times New Roman"/>
          <w:b/>
          <w:sz w:val="24"/>
        </w:rPr>
        <w:t xml:space="preserve">1. BRS2 → BRS1 — </w:t>
      </w:r>
      <w:r>
        <w:rPr>
          <w:rFonts w:ascii="Times New Roman" w:hAnsi="Times New Roman"/>
          <w:sz w:val="24"/>
        </w:rPr>
        <w:t>One-carbon metabolism and BH4-dependent cofactor chemistry support monoamine synthesis, membrane methylation and neurotransmitter precursor handling.</w:t>
      </w:r>
    </w:p>
    <w:p>
      <w:pPr>
        <w:spacing w:line="480" w:lineRule="auto" w:after="80"/>
        <w:ind w:left="720"/>
      </w:pPr>
      <w:r>
        <w:rPr>
          <w:rFonts w:ascii="Times New Roman" w:hAnsi="Times New Roman"/>
          <w:b/>
          <w:sz w:val="24"/>
        </w:rPr>
        <w:t xml:space="preserve">Fanet et al. (2021): </w:t>
      </w:r>
      <w:r>
        <w:rPr>
          <w:rFonts w:ascii="Times New Roman" w:hAnsi="Times New Roman"/>
          <w:sz w:val="24"/>
        </w:rPr>
        <w:t>Mechanistic review of tetrahydrobiopterin (BH4) as an essential cofactor for dopamine and serotonin synthesis, linking one-carbon–adjacent cofactor biology to central neurotransmission and inflammatory–oxidative modulation of monoamine pathways.</w:t>
      </w:r>
    </w:p>
    <w:p>
      <w:pPr>
        <w:spacing w:line="480" w:lineRule="auto" w:after="80"/>
        <w:ind w:left="720"/>
      </w:pPr>
      <w:r>
        <w:rPr>
          <w:rFonts w:ascii="Times New Roman" w:hAnsi="Times New Roman"/>
          <w:b/>
          <w:sz w:val="24"/>
        </w:rPr>
        <w:t xml:space="preserve">Kennedy (2016): </w:t>
      </w:r>
      <w:r>
        <w:rPr>
          <w:rFonts w:ascii="Times New Roman" w:hAnsi="Times New Roman"/>
          <w:sz w:val="24"/>
        </w:rPr>
        <w:t>Integrative review of B-vitamin roles in brain function, including methylation-dependent synthesis of neurochemicals and signalling molecules that underpin monoaminergic and wider neurotransmitter biology.</w:t>
      </w:r>
    </w:p>
    <w:p>
      <w:pPr>
        <w:spacing w:line="480" w:lineRule="auto" w:after="80"/>
        <w:ind w:left="360"/>
      </w:pPr>
      <w:r>
        <w:rPr>
          <w:rFonts w:ascii="Times New Roman" w:hAnsi="Times New Roman"/>
          <w:b/>
          <w:sz w:val="24"/>
        </w:rPr>
        <w:t xml:space="preserve">2. BRS2 → BRS3 — </w:t>
      </w:r>
      <w:r>
        <w:rPr>
          <w:rFonts w:ascii="Times New Roman" w:hAnsi="Times New Roman"/>
          <w:sz w:val="24"/>
        </w:rPr>
        <w:t>Transsulfuration-linked substrate flux from one-carbon metabolism supports glutathione-centred antioxidant defence.</w:t>
      </w:r>
    </w:p>
    <w:p>
      <w:pPr>
        <w:spacing w:line="480" w:lineRule="auto" w:after="80"/>
        <w:ind w:left="720"/>
      </w:pPr>
      <w:r>
        <w:rPr>
          <w:rFonts w:ascii="Times New Roman" w:hAnsi="Times New Roman"/>
          <w:b/>
          <w:sz w:val="24"/>
        </w:rPr>
        <w:t xml:space="preserve">Kumar et al. (2017): </w:t>
      </w:r>
      <w:r>
        <w:rPr>
          <w:rFonts w:ascii="Times New Roman" w:hAnsi="Times New Roman"/>
          <w:sz w:val="24"/>
        </w:rPr>
        <w:t>Review of transsulfuration from homocysteine to cysteine and glutathione, connecting one-carbon metabolic flux to redox defence capacity within BRS3.</w:t>
      </w:r>
    </w:p>
    <w:p>
      <w:pPr>
        <w:spacing w:line="480" w:lineRule="auto" w:after="80"/>
        <w:ind w:left="720"/>
      </w:pPr>
      <w:r>
        <w:rPr>
          <w:rFonts w:ascii="Times New Roman" w:hAnsi="Times New Roman"/>
          <w:b/>
          <w:sz w:val="24"/>
        </w:rPr>
        <w:t xml:space="preserve">Chiang et al. (1996): </w:t>
      </w:r>
      <w:r>
        <w:rPr>
          <w:rFonts w:ascii="Times New Roman" w:hAnsi="Times New Roman"/>
          <w:sz w:val="24"/>
        </w:rPr>
        <w:t>Foundational review of S-adenosylmethionine as the principal methyl donor, describing how one-carbon flux allocation influences downstream transsulfuration and cellular redox chemistry.</w:t>
      </w:r>
    </w:p>
    <w:p>
      <w:pPr>
        <w:pStyle w:val="Heading2"/>
      </w:pPr>
      <w:r>
        <w:rPr>
          <w:sz w:val="26"/>
        </w:rPr>
        <w:t>Translational interpretation</w:t>
      </w:r>
    </w:p>
    <w:p>
      <w:pPr>
        <w:spacing w:line="480" w:lineRule="auto" w:after="120"/>
      </w:pPr>
      <w:r>
        <w:rPr>
          <w:rFonts w:ascii="Times New Roman" w:hAnsi="Times New Roman"/>
          <w:sz w:val="24"/>
        </w:rPr>
        <w:t>Repeated ADHD cohort findings of folate/B12 insufficiency and homocysteine elevation support viewing one-carbon metabolism as a biologically important regulatory system in ADHD — one where dietary methyl-donor patterns may influence remethylation capacity, transsulfuration-linked redox protection, and membrane phospholipid formation as interconnected processes.</w:t>
      </w:r>
    </w:p>
    <w:p>
      <w:pPr>
        <w:spacing w:line="480" w:lineRule="auto" w:after="120"/>
      </w:pPr>
      <w:r>
        <w:rPr>
          <w:rFonts w:ascii="Times New Roman" w:hAnsi="Times New Roman"/>
          <w:sz w:val="24"/>
        </w:rPr>
        <w:t>For adaptive capacity, BRS2 contributes methylation, repair, and phospholipid maintenance needed for sustained biological adaptation. Under chronic demand, one-carbon insufficiency may increase vulnerability across downstream regulatory systems — as outlined in Cross-BRS integration Evidence. Regulating BRS2 therefore offers a biologically plausible route to supporting resilience by maintaining the biochemical infrastructure other systems depend upon when regulatory burden accumulates.</w:t>
      </w:r>
    </w:p>
    <w:p>
      <w:pPr>
        <w:pStyle w:val="Heading2"/>
      </w:pPr>
      <w:r>
        <w:t>References</w:t>
      </w:r>
    </w:p>
    <w:p>
      <w:pPr>
        <w:pStyle w:val="ListNumber"/>
        <w:spacing w:line="240" w:lineRule="auto" w:after="60"/>
        <w:ind w:left="360" w:hanging="360"/>
      </w:pPr>
      <w:r>
        <w:rPr>
          <w:rFonts w:ascii="Times New Roman" w:hAnsi="Times New Roman"/>
          <w:sz w:val="22"/>
        </w:rPr>
        <w:t>Razavinia, F., et al. (2024). Vitamins B9 and B12 in children with attention deficit hyperactivity disorder (ADHD). International Journal for Vitamin and Nutrition Research, 94(5–6), 476–484. https://doi.org/10.1024/0300-9831/a000809</w:t>
      </w:r>
    </w:p>
    <w:p>
      <w:pPr>
        <w:pStyle w:val="ListNumber"/>
        <w:spacing w:line="240" w:lineRule="auto" w:after="60"/>
        <w:ind w:left="360" w:hanging="360"/>
      </w:pPr>
      <w:r>
        <w:rPr>
          <w:rFonts w:ascii="Times New Roman" w:hAnsi="Times New Roman"/>
          <w:sz w:val="22"/>
        </w:rPr>
        <w:t>Lukovac, T., et al. (2024). Serum biomarker analysis in pediatric ADHD. Children, 11(4), 497. https://doi.org/10.3390/children11040497</w:t>
      </w:r>
    </w:p>
    <w:p>
      <w:pPr>
        <w:pStyle w:val="ListNumber"/>
        <w:spacing w:line="240" w:lineRule="auto" w:after="60"/>
        <w:ind w:left="360" w:hanging="360"/>
      </w:pPr>
      <w:r>
        <w:rPr>
          <w:rFonts w:ascii="Times New Roman" w:hAnsi="Times New Roman"/>
          <w:sz w:val="22"/>
        </w:rPr>
        <w:t>Millichap, J. G., &amp; Yee, M. M. (2012). The diet factor in attention-deficit/hyperactivity disorder. Pediatrics, 129(2), 330–337. https://doi.org/10.1542/peds.2011-2199</w:t>
      </w:r>
    </w:p>
    <w:p>
      <w:pPr>
        <w:pStyle w:val="ListNumber"/>
        <w:spacing w:line="240" w:lineRule="auto" w:after="60"/>
        <w:ind w:left="360" w:hanging="360"/>
      </w:pPr>
      <w:r>
        <w:rPr>
          <w:rFonts w:ascii="Times New Roman" w:hAnsi="Times New Roman"/>
          <w:sz w:val="22"/>
        </w:rPr>
        <w:t>Meng, X., et al. (2022). Association between MTHFR polymorphisms and ADHD. See BRAIN Diet bibliography: meng_association_2022.</w:t>
      </w:r>
    </w:p>
    <w:p>
      <w:pPr>
        <w:pStyle w:val="ListNumber"/>
        <w:spacing w:line="240" w:lineRule="auto" w:after="60"/>
        <w:ind w:left="360" w:hanging="360"/>
      </w:pPr>
      <w:r>
        <w:rPr>
          <w:rFonts w:ascii="Times New Roman" w:hAnsi="Times New Roman"/>
          <w:sz w:val="22"/>
        </w:rPr>
        <w:t>Oulhaj, A., et al. (2016). Omega-3 fatty acid status enhances B vitamin effect on brain atrophy. International Journal of Psychogeriatrics. https://doi.org/10.1017/S1041610216000802</w:t>
      </w:r>
    </w:p>
    <w:p>
      <w:pPr>
        <w:pStyle w:val="ListNumber"/>
        <w:spacing w:line="240" w:lineRule="auto" w:after="60"/>
        <w:ind w:left="360" w:hanging="360"/>
      </w:pPr>
      <w:r>
        <w:rPr>
          <w:rFonts w:ascii="Times New Roman" w:hAnsi="Times New Roman"/>
          <w:sz w:val="22"/>
        </w:rPr>
        <w:t>Fanet, H., Capuron, L., Castanon, N., Calon, F., &amp; Vancassel, S. (2021). Tetrahydrobiopterin (BH4) pathway: From metabolism to neuropsychiatry. Current Neuropharmacology, 19(5), 591–609. https://doi.org/10.2174/1570159X18666200729103529</w:t>
      </w:r>
    </w:p>
    <w:p>
      <w:pPr>
        <w:pStyle w:val="ListNumber"/>
        <w:spacing w:line="240" w:lineRule="auto" w:after="60"/>
        <w:ind w:left="360" w:hanging="360"/>
      </w:pPr>
      <w:r>
        <w:rPr>
          <w:rFonts w:ascii="Times New Roman" w:hAnsi="Times New Roman"/>
          <w:sz w:val="22"/>
        </w:rPr>
        <w:t>Kennedy, D. O. (2016). B vitamins and the brain: Mechanisms, dose and efficacy—A review. Nutrients, 8(2), 68. https://doi.org/10.3390/nu8020068</w:t>
      </w:r>
    </w:p>
    <w:p>
      <w:pPr>
        <w:pStyle w:val="ListNumber"/>
        <w:spacing w:line="240" w:lineRule="auto" w:after="60"/>
        <w:ind w:left="360" w:hanging="360"/>
      </w:pPr>
      <w:r>
        <w:rPr>
          <w:rFonts w:ascii="Times New Roman" w:hAnsi="Times New Roman"/>
          <w:sz w:val="22"/>
        </w:rPr>
        <w:t>Kumar, N., Kaur, G., &amp; Kaur, S. (2017). The transsulfuration pathway. World Journal of Hepatology, 9(16), 745–750. https://doi.org/10.4254/wjh.v9.i16.745</w:t>
      </w:r>
    </w:p>
    <w:p>
      <w:pPr>
        <w:pStyle w:val="ListNumber"/>
        <w:spacing w:line="240" w:lineRule="auto" w:after="60"/>
        <w:ind w:left="360" w:hanging="360"/>
      </w:pPr>
      <w:r>
        <w:rPr>
          <w:rFonts w:ascii="Times New Roman" w:hAnsi="Times New Roman"/>
          <w:sz w:val="22"/>
        </w:rPr>
        <w:t>Chiang, P. K., Gordon, R. K., Tal, J., Zeng, G. C., Doctor, B. P., Pardhasaradhi, K., &amp; McCann, P. P. (1996). S-Adenosylmethionine and methylation. FASEB Journal, 10(5), 471–480.</w:t>
      </w:r>
    </w:p>
    <w:p>
      <w:r>
        <w:br w:type="page"/>
      </w:r>
    </w:p>
    <w:p>
      <w:pPr>
        <w:pStyle w:val="Heading1"/>
      </w:pPr>
      <w:r>
        <w:rPr>
          <w:sz w:val="28"/>
        </w:rPr>
        <w:t>BRS3 — Inflammation &amp; Oxidative Stress: Biological Regulatory Identity and ADHD-Relevant Evidence</w:t>
      </w:r>
    </w:p>
    <w:p>
      <w:pPr>
        <w:pStyle w:val="Heading2"/>
      </w:pPr>
      <w:r>
        <w:rPr>
          <w:sz w:val="26"/>
        </w:rPr>
        <w:t>Biological Regulatory System identity</w:t>
      </w:r>
    </w:p>
    <w:p>
      <w:pPr>
        <w:spacing w:line="480" w:lineRule="auto" w:after="120"/>
      </w:pPr>
      <w:r>
        <w:rPr>
          <w:rFonts w:ascii="Times New Roman" w:hAnsi="Times New Roman"/>
          <w:sz w:val="24"/>
        </w:rPr>
        <w:t>BRS3 (Inflammation &amp; Oxidative Stress) describes the integrated capacity to restrain pro-inflammatory signalling, maintain antioxidant defence, and resolve inflammatory burden without chronic immune activation. Its Functional Mechanisms — BRS3(FM1) Anti-Inflammatory Signalling Tone, BRS3(FM2) Antioxidant Defense Capacity, and BRS3(FM3) Inflammation Resolution Capacity — represent a coordinated immune–redox regulatory system. Elevated inflammatory or oxidative load may constrain cognitive, emotional, and neurochemical regulation across multiple downstream systems.</w:t>
      </w:r>
    </w:p>
    <w:p>
      <w:pPr>
        <w:pStyle w:val="Heading2"/>
      </w:pPr>
      <w:r>
        <w:rPr>
          <w:sz w:val="26"/>
        </w:rPr>
        <w:t>Landmark ADHD evidence</w:t>
      </w:r>
    </w:p>
    <w:p>
      <w:pPr>
        <w:spacing w:line="480" w:lineRule="auto" w:after="120"/>
        <w:ind w:left="360"/>
      </w:pPr>
      <w:r>
        <w:rPr>
          <w:rFonts w:ascii="Times New Roman" w:hAnsi="Times New Roman"/>
          <w:b/>
          <w:sz w:val="24"/>
        </w:rPr>
        <w:t xml:space="preserve">1. Chang et al. (2020) — </w:t>
      </w:r>
      <w:r>
        <w:rPr>
          <w:rFonts w:ascii="Times New Roman" w:hAnsi="Times New Roman"/>
          <w:sz w:val="24"/>
        </w:rPr>
        <w:t xml:space="preserve">What they found: Children and adolescents with ADHD in Taiwan showed associations between elevated reactive oxygen species, astrocyte/microglia activation, and pro-inflammatory cytokines (IL-6, IL-1β, TNF-α). </w:t>
      </w:r>
      <w:r>
        <w:rPr>
          <w:rFonts w:ascii="Times New Roman" w:hAnsi="Times New Roman"/>
          <w:i/>
          <w:sz w:val="24"/>
        </w:rPr>
        <w:t>Why this matters for the BRS: Anchors neuroimmune inflammatory activation as a reproducible ADHD-associated biology — supporting BRS3(FM1) and BRS3(FM3) as integrated inflammatory regulatory domains within the BRS.</w:t>
      </w:r>
    </w:p>
    <w:p>
      <w:pPr>
        <w:spacing w:line="480" w:lineRule="auto" w:after="120"/>
        <w:ind w:left="360"/>
      </w:pPr>
      <w:r>
        <w:rPr>
          <w:rFonts w:ascii="Times New Roman" w:hAnsi="Times New Roman"/>
          <w:b/>
          <w:sz w:val="24"/>
        </w:rPr>
        <w:t xml:space="preserve">2. Bulut et al. (2007) — </w:t>
      </w:r>
      <w:r>
        <w:rPr>
          <w:rFonts w:ascii="Times New Roman" w:hAnsi="Times New Roman"/>
          <w:sz w:val="24"/>
        </w:rPr>
        <w:t xml:space="preserve">What they found: Adults with ADHD had significantly higher malondialdehyde — a lipid peroxidation marker — versus healthy controls. </w:t>
      </w:r>
      <w:r>
        <w:rPr>
          <w:rFonts w:ascii="Times New Roman" w:hAnsi="Times New Roman"/>
          <w:i/>
          <w:sz w:val="24"/>
        </w:rPr>
        <w:t>Why this matters for the BRS: Demonstrates elevated net oxidative burden in ADHD cohorts, establishing BRS3(FM2) Antioxidant Defense Capacity as a biologically relevant regulatory domain — not merely a general wellness concept.</w:t>
      </w:r>
    </w:p>
    <w:p>
      <w:pPr>
        <w:spacing w:line="480" w:lineRule="auto" w:after="120"/>
        <w:ind w:left="360"/>
      </w:pPr>
      <w:r>
        <w:rPr>
          <w:rFonts w:ascii="Times New Roman" w:hAnsi="Times New Roman"/>
          <w:b/>
          <w:sz w:val="24"/>
        </w:rPr>
        <w:t xml:space="preserve">3. Verlaet et al. (2019) — </w:t>
      </w:r>
      <w:r>
        <w:rPr>
          <w:rFonts w:ascii="Times New Roman" w:hAnsi="Times New Roman"/>
          <w:sz w:val="24"/>
        </w:rPr>
        <w:t xml:space="preserve">What they found: Paediatric ADHD case–control work reported elevated glutathione and oxidative-stress markers, interpreted as compensatory response to increased oxidative load. </w:t>
      </w:r>
      <w:r>
        <w:rPr>
          <w:rFonts w:ascii="Times New Roman" w:hAnsi="Times New Roman"/>
          <w:i/>
          <w:sz w:val="24"/>
        </w:rPr>
        <w:t>Why this matters for the BRS: Links ADHD redox disturbance to active compensatory biology within BRS3(FM2) — supporting the BRS as a modifiable layer where antioxidant capacity may be strained under sustained demand.</w:t>
      </w:r>
    </w:p>
    <w:p>
      <w:pPr>
        <w:pStyle w:val="Heading2"/>
      </w:pPr>
      <w:r>
        <w:rPr>
          <w:sz w:val="26"/>
        </w:rPr>
        <w:t>Cross-BRS integration Evidence</w:t>
      </w:r>
    </w:p>
    <w:p>
      <w:pPr>
        <w:spacing w:line="480" w:lineRule="auto" w:after="80"/>
        <w:ind w:left="360"/>
      </w:pPr>
      <w:r>
        <w:rPr>
          <w:rFonts w:ascii="Times New Roman" w:hAnsi="Times New Roman"/>
          <w:b/>
          <w:sz w:val="24"/>
        </w:rPr>
        <w:t xml:space="preserve">1. BRS3 → BRS1 — </w:t>
      </w:r>
      <w:r>
        <w:rPr>
          <w:rFonts w:ascii="Times New Roman" w:hAnsi="Times New Roman"/>
          <w:sz w:val="24"/>
        </w:rPr>
        <w:t>Inflammatory and oxidative burden modulate neurotransmitter synthesis, metabolism and excitation–inhibition balance.</w:t>
      </w:r>
    </w:p>
    <w:p>
      <w:pPr>
        <w:spacing w:line="480" w:lineRule="auto" w:after="80"/>
        <w:ind w:left="720"/>
      </w:pPr>
      <w:r>
        <w:rPr>
          <w:rFonts w:ascii="Times New Roman" w:hAnsi="Times New Roman"/>
          <w:b/>
          <w:sz w:val="24"/>
        </w:rPr>
        <w:t xml:space="preserve">Slavich &amp; Irwin (2014): </w:t>
      </w:r>
      <w:r>
        <w:rPr>
          <w:rFonts w:ascii="Times New Roman" w:hAnsi="Times New Roman"/>
          <w:sz w:val="24"/>
        </w:rPr>
        <w:t>Landmark integrative review describing how pro-inflammatory cytokine signalling alters central nervous system function, monoamine-related behaviour, and neurotransmitter biology downstream of immune activation.</w:t>
      </w:r>
    </w:p>
    <w:p>
      <w:pPr>
        <w:spacing w:line="480" w:lineRule="auto" w:after="80"/>
        <w:ind w:left="720"/>
      </w:pPr>
      <w:r>
        <w:rPr>
          <w:rFonts w:ascii="Times New Roman" w:hAnsi="Times New Roman"/>
          <w:b/>
          <w:sz w:val="24"/>
        </w:rPr>
        <w:t xml:space="preserve">Savitz (2019): </w:t>
      </w:r>
      <w:r>
        <w:rPr>
          <w:rFonts w:ascii="Times New Roman" w:hAnsi="Times New Roman"/>
          <w:sz w:val="24"/>
        </w:rPr>
        <w:t>Comprehensive kynurenine-pathway review linking immune activation to glutamatergic and GABAergic neurotransmission, NMDA receptor signalling, and excitation–inhibition balance — a principal mechanistic bridge between inflammation and neurotransmitter regulation.</w:t>
      </w:r>
    </w:p>
    <w:p>
      <w:pPr>
        <w:spacing w:line="480" w:lineRule="auto" w:after="80"/>
        <w:ind w:left="360"/>
      </w:pPr>
      <w:r>
        <w:rPr>
          <w:rFonts w:ascii="Times New Roman" w:hAnsi="Times New Roman"/>
          <w:b/>
          <w:sz w:val="24"/>
        </w:rPr>
        <w:t xml:space="preserve">2. BRS5 → BRS3 — </w:t>
      </w:r>
      <w:r>
        <w:rPr>
          <w:rFonts w:ascii="Times New Roman" w:hAnsi="Times New Roman"/>
          <w:sz w:val="24"/>
        </w:rPr>
        <w:t>Gut barrier integrity and microbial immune signalling influence systemic inflammatory tone and oxidative load.</w:t>
      </w:r>
    </w:p>
    <w:p>
      <w:pPr>
        <w:spacing w:line="480" w:lineRule="auto" w:after="80"/>
        <w:ind w:left="720"/>
      </w:pPr>
      <w:r>
        <w:rPr>
          <w:rFonts w:ascii="Times New Roman" w:hAnsi="Times New Roman"/>
          <w:b/>
          <w:sz w:val="24"/>
        </w:rPr>
        <w:t xml:space="preserve">O'Mahony et al. (2015): </w:t>
      </w:r>
      <w:r>
        <w:rPr>
          <w:rFonts w:ascii="Times New Roman" w:hAnsi="Times New Roman"/>
          <w:sz w:val="24"/>
        </w:rPr>
        <w:t>Review of microbiota–gut–brain communication describing immune and serotonergic signalling pathways through which gut ecology modulates central and peripheral inflammatory biology.</w:t>
      </w:r>
    </w:p>
    <w:p>
      <w:pPr>
        <w:spacing w:line="480" w:lineRule="auto" w:after="80"/>
        <w:ind w:left="720"/>
      </w:pPr>
      <w:r>
        <w:rPr>
          <w:rFonts w:ascii="Times New Roman" w:hAnsi="Times New Roman"/>
          <w:b/>
          <w:sz w:val="24"/>
        </w:rPr>
        <w:t xml:space="preserve">Slavich &amp; Irwin (2014): </w:t>
      </w:r>
      <w:r>
        <w:rPr>
          <w:rFonts w:ascii="Times New Roman" w:hAnsi="Times New Roman"/>
          <w:sz w:val="24"/>
        </w:rPr>
        <w:t>Integrative framework linking environmental and social stressors to pro-inflammatory signalling — relevant to how gut-immune perturbation propagates inflammatory burden across systems.</w:t>
      </w:r>
    </w:p>
    <w:p>
      <w:pPr>
        <w:spacing w:line="480" w:lineRule="auto" w:after="80"/>
        <w:ind w:left="360"/>
      </w:pPr>
      <w:r>
        <w:rPr>
          <w:rFonts w:ascii="Times New Roman" w:hAnsi="Times New Roman"/>
          <w:b/>
          <w:sz w:val="24"/>
        </w:rPr>
        <w:t xml:space="preserve">3. BRS6 → BRS3 — </w:t>
      </w:r>
      <w:r>
        <w:rPr>
          <w:rFonts w:ascii="Times New Roman" w:hAnsi="Times New Roman"/>
          <w:sz w:val="24"/>
        </w:rPr>
        <w:t>HPA-axis and autonomic stress signalling interact with inflammatory and oxidative biology during sustained adaptive demand.</w:t>
      </w:r>
    </w:p>
    <w:p>
      <w:pPr>
        <w:spacing w:line="480" w:lineRule="auto" w:after="80"/>
        <w:ind w:left="720"/>
      </w:pPr>
      <w:r>
        <w:rPr>
          <w:rFonts w:ascii="Times New Roman" w:hAnsi="Times New Roman"/>
          <w:b/>
          <w:sz w:val="24"/>
        </w:rPr>
        <w:t xml:space="preserve">McEwen (2006): </w:t>
      </w:r>
      <w:r>
        <w:rPr>
          <w:rFonts w:ascii="Times New Roman" w:hAnsi="Times New Roman"/>
          <w:sz w:val="24"/>
        </w:rPr>
        <w:t>Foundational allostasis review describing bidirectional interactions between stress mediators, immune-inflammatory processes, and cumulative regulatory burden.</w:t>
      </w:r>
    </w:p>
    <w:p>
      <w:pPr>
        <w:spacing w:line="480" w:lineRule="auto" w:after="80"/>
        <w:ind w:left="720"/>
      </w:pPr>
      <w:r>
        <w:rPr>
          <w:rFonts w:ascii="Times New Roman" w:hAnsi="Times New Roman"/>
          <w:b/>
          <w:sz w:val="24"/>
        </w:rPr>
        <w:t xml:space="preserve">Slavich &amp; Irwin (2014): </w:t>
      </w:r>
      <w:r>
        <w:rPr>
          <w:rFonts w:ascii="Times New Roman" w:hAnsi="Times New Roman"/>
          <w:sz w:val="24"/>
        </w:rPr>
        <w:t>Integrative review linking stress neurobiology to pro-inflammatory cytokine activation and downstream CNS consequences — the principal mechanistic bridge between neuroendocrine stress and inflammatory load.</w:t>
      </w:r>
    </w:p>
    <w:p>
      <w:pPr>
        <w:pStyle w:val="Heading2"/>
      </w:pPr>
      <w:r>
        <w:rPr>
          <w:sz w:val="26"/>
        </w:rPr>
        <w:t>Translational interpretation</w:t>
      </w:r>
    </w:p>
    <w:p>
      <w:pPr>
        <w:spacing w:line="480" w:lineRule="auto" w:after="120"/>
      </w:pPr>
      <w:r>
        <w:rPr>
          <w:rFonts w:ascii="Times New Roman" w:hAnsi="Times New Roman"/>
          <w:sz w:val="24"/>
        </w:rPr>
        <w:t>Converging ADHD evidence of cytokine elevation, lipid peroxidation, and compensatory antioxidant responses supports treating inflammation and oxidative stress as an important regulatory system in ADHD biology — one where dietary antioxidant substrates, omega-3 balance, and gut-derived immune load may influence inflammatory tone and redox burden relevant to cognitive and behavioural function.</w:t>
      </w:r>
    </w:p>
    <w:p>
      <w:pPr>
        <w:spacing w:line="480" w:lineRule="auto" w:after="120"/>
      </w:pPr>
      <w:r>
        <w:rPr>
          <w:rFonts w:ascii="Times New Roman" w:hAnsi="Times New Roman"/>
          <w:sz w:val="24"/>
        </w:rPr>
        <w:t>For adaptive capacity, BRS3 contributes inflammatory and redox load control that protects downstream regulatory systems. Chronic low-grade inflammatory or oxidative strain may alter neurotransmitter regulation and increase metabolic burden handled by BRS6 — relationships described in Cross-BRS integration Evidence. Regulating BRS3 therefore has ADHD relevance as a modifiable system that may reduce biological cost when environmental, behavioural, or physiological demands accumulate.</w:t>
      </w:r>
    </w:p>
    <w:p>
      <w:pPr>
        <w:pStyle w:val="Heading2"/>
      </w:pPr>
      <w:r>
        <w:t>References</w:t>
      </w:r>
    </w:p>
    <w:p>
      <w:pPr>
        <w:pStyle w:val="ListNumber"/>
        <w:spacing w:line="240" w:lineRule="auto" w:after="60"/>
        <w:ind w:left="360" w:hanging="360"/>
      </w:pPr>
      <w:r>
        <w:rPr>
          <w:rFonts w:ascii="Times New Roman" w:hAnsi="Times New Roman"/>
          <w:sz w:val="22"/>
        </w:rPr>
        <w:t>Chang, J. P.-C., Mondelli, V., Satyanarayanan, S. K., et al. (2020). Cortisol, inflammatory biomarkers and neurotrophins in children and adolescents with ADHD in Taiwan. Brain, Behavior, and Immunity, 88, 105–113. https://doi.org/10.1016/j.bbi.2020.05.017</w:t>
      </w:r>
    </w:p>
    <w:p>
      <w:pPr>
        <w:pStyle w:val="ListNumber"/>
        <w:spacing w:line="240" w:lineRule="auto" w:after="60"/>
        <w:ind w:left="360" w:hanging="360"/>
      </w:pPr>
      <w:r>
        <w:rPr>
          <w:rFonts w:ascii="Times New Roman" w:hAnsi="Times New Roman"/>
          <w:sz w:val="22"/>
        </w:rPr>
        <w:t>Bulut, M., et al. (2007). Evaluation of malondialdehyde levels in adult ADHD. Psychiatry and Clinical Psychopharmacology. https://doi.org/10.1080/14751740701595421</w:t>
      </w:r>
    </w:p>
    <w:p>
      <w:pPr>
        <w:pStyle w:val="ListNumber"/>
        <w:spacing w:line="240" w:lineRule="auto" w:after="60"/>
        <w:ind w:left="360" w:hanging="360"/>
      </w:pPr>
      <w:r>
        <w:rPr>
          <w:rFonts w:ascii="Times New Roman" w:hAnsi="Times New Roman"/>
          <w:sz w:val="22"/>
        </w:rPr>
        <w:t>Verlaet, A. A. J., Breynaert, A., Ceulemans, B., et al. (2019). Oxidative stress and immune aberrancies in ADHD. European Child &amp; Adolescent Psychiatry, 28(5), 719–729. https://doi.org/10.1007/s00787-018-1239-4</w:t>
      </w:r>
    </w:p>
    <w:p>
      <w:pPr>
        <w:pStyle w:val="ListNumber"/>
        <w:spacing w:line="240" w:lineRule="auto" w:after="60"/>
        <w:ind w:left="360" w:hanging="360"/>
      </w:pPr>
      <w:r>
        <w:rPr>
          <w:rFonts w:ascii="Times New Roman" w:hAnsi="Times New Roman"/>
          <w:sz w:val="22"/>
        </w:rPr>
        <w:t>Trebatická, J., et al. (2006). Treatment of ADHD with French maritime pine bark extract, Pycnogenol. European Child &amp; Adolescent Psychiatry, 15(6), 329–335. https://doi.org/10.1007/s00787-006-0535-6</w:t>
      </w:r>
    </w:p>
    <w:p>
      <w:pPr>
        <w:pStyle w:val="ListNumber"/>
        <w:spacing w:line="240" w:lineRule="auto" w:after="60"/>
        <w:ind w:left="360" w:hanging="360"/>
      </w:pPr>
      <w:r>
        <w:rPr>
          <w:rFonts w:ascii="Times New Roman" w:hAnsi="Times New Roman"/>
          <w:sz w:val="22"/>
        </w:rPr>
        <w:t>Slavich, G. M., &amp; Irwin, M. R. (2014). From stress to inflammation and major depressive disorder: A social signal transduction theory of depression. Psychological Bulletin, 140(3), 774–815. https://doi.org/10.1037/a0035302</w:t>
      </w:r>
    </w:p>
    <w:p>
      <w:pPr>
        <w:pStyle w:val="ListNumber"/>
        <w:spacing w:line="240" w:lineRule="auto" w:after="60"/>
        <w:ind w:left="360" w:hanging="360"/>
      </w:pPr>
      <w:r>
        <w:rPr>
          <w:rFonts w:ascii="Times New Roman" w:hAnsi="Times New Roman"/>
          <w:sz w:val="22"/>
        </w:rPr>
        <w:t>Savitz, J. (2019). The kynurenine pathway: A finger in every pie. Molecular Psychiatry, 25(1), 131–147. https://doi.org/10.1038/s41380-019-0414-4</w:t>
      </w:r>
    </w:p>
    <w:p>
      <w:pPr>
        <w:pStyle w:val="ListNumber"/>
        <w:spacing w:line="240" w:lineRule="auto" w:after="60"/>
        <w:ind w:left="360" w:hanging="360"/>
      </w:pPr>
      <w:r>
        <w:rPr>
          <w:rFonts w:ascii="Times New Roman" w:hAnsi="Times New Roman"/>
          <w:sz w:val="22"/>
        </w:rPr>
        <w:t>O'Mahony, S. M., Clarke, G., Borre, Y. E., Dinan, T. G., &amp; Cryan, J. F. (2015). Serotonin, tryptophan metabolism and the brain-gut-microbiome axis. Behavioural Brain Research, 277, 32–48. https://doi.org/10.1016/j.bbr.2014.07.027</w:t>
      </w:r>
    </w:p>
    <w:p>
      <w:pPr>
        <w:pStyle w:val="ListNumber"/>
        <w:spacing w:line="240" w:lineRule="auto" w:after="60"/>
        <w:ind w:left="360" w:hanging="360"/>
      </w:pPr>
      <w:r>
        <w:rPr>
          <w:rFonts w:ascii="Times New Roman" w:hAnsi="Times New Roman"/>
          <w:sz w:val="22"/>
        </w:rPr>
        <w:t>McEwen, B. S. (2006). Protective and damaging effects of stress mediators in health and disease. Dialogues in Clinical Neuroscience, 8(4), 377–384. https://doi.org/10.31887/DCNS.2006.8.4/bmcewen</w:t>
      </w:r>
    </w:p>
    <w:p>
      <w:r>
        <w:br w:type="page"/>
      </w:r>
    </w:p>
    <w:p>
      <w:pPr>
        <w:pStyle w:val="Heading1"/>
      </w:pPr>
      <w:r>
        <w:rPr>
          <w:sz w:val="28"/>
        </w:rPr>
        <w:t>BRS4 — Mitochondrial Function &amp; Bioenergetics: Biological Regulatory Identity and ADHD-Relevant Evidence</w:t>
      </w:r>
    </w:p>
    <w:p>
      <w:pPr>
        <w:pStyle w:val="Heading2"/>
      </w:pPr>
      <w:r>
        <w:rPr>
          <w:sz w:val="26"/>
        </w:rPr>
        <w:t>Biological Regulatory System identity</w:t>
      </w:r>
    </w:p>
    <w:p>
      <w:pPr>
        <w:spacing w:line="480" w:lineRule="auto" w:after="120"/>
      </w:pPr>
      <w:r>
        <w:rPr>
          <w:rFonts w:ascii="Times New Roman" w:hAnsi="Times New Roman"/>
          <w:sz w:val="24"/>
        </w:rPr>
        <w:t>BRS4 (Mitochondrial Function &amp; Bioenergetics) describes the integrated cellular capacity for ATP production, mitochondrial protection, substrate flexibility, and adaptive energetic remodelling. Its Functional Mechanisms — BRS4(FM1) Cellular Bioenergetics, BRS4(FM2) Mitochondrial Resilience &amp; Redox Stability, BRS4(FM3) Substrate Utilisation Flexibility, and BRS4(FM4) Mitochondrial Capacity Expansion &amp; Adaptation — represent a coordinated bioenergetic regulatory system. Impaired mitochondrial performance may constrain cognitive energetics, recovery, and downstream neurochemical signalling.</w:t>
      </w:r>
    </w:p>
    <w:p>
      <w:pPr>
        <w:pStyle w:val="Heading2"/>
      </w:pPr>
      <w:r>
        <w:rPr>
          <w:sz w:val="26"/>
        </w:rPr>
        <w:t>Landmark ADHD evidence</w:t>
      </w:r>
    </w:p>
    <w:p>
      <w:pPr>
        <w:spacing w:line="480" w:lineRule="auto" w:after="120"/>
        <w:ind w:left="360"/>
      </w:pPr>
      <w:r>
        <w:rPr>
          <w:rFonts w:ascii="Times New Roman" w:hAnsi="Times New Roman"/>
          <w:b/>
          <w:sz w:val="24"/>
        </w:rPr>
        <w:t xml:space="preserve">1. Verma et al. (2016) — </w:t>
      </w:r>
      <w:r>
        <w:rPr>
          <w:rFonts w:ascii="Times New Roman" w:hAnsi="Times New Roman"/>
          <w:sz w:val="24"/>
        </w:rPr>
        <w:t xml:space="preserve">What they found: Cybrid cell models from ADHD patient platelets showed reduced cellular and mitochondrial respiration, lower complex V activity, membrane-potential loss, and elevated oxidative stress. </w:t>
      </w:r>
      <w:r>
        <w:rPr>
          <w:rFonts w:ascii="Times New Roman" w:hAnsi="Times New Roman"/>
          <w:i/>
          <w:sz w:val="24"/>
        </w:rPr>
        <w:t>Why this matters for the BRS: Provides direct ADHD-derived cellular evidence that mitochondrial bioenergetics is impaired — establishing BRS4 as a biologically plausible regulatory domain rather than a speculative nutritional concept.</w:t>
      </w:r>
    </w:p>
    <w:p>
      <w:pPr>
        <w:spacing w:line="480" w:lineRule="auto" w:after="120"/>
        <w:ind w:left="360"/>
      </w:pPr>
      <w:r>
        <w:rPr>
          <w:rFonts w:ascii="Times New Roman" w:hAnsi="Times New Roman"/>
          <w:b/>
          <w:sz w:val="24"/>
        </w:rPr>
        <w:t xml:space="preserve">2. van Oudheusden &amp; Scholte (2002) — </w:t>
      </w:r>
      <w:r>
        <w:rPr>
          <w:rFonts w:ascii="Times New Roman" w:hAnsi="Times New Roman"/>
          <w:sz w:val="24"/>
        </w:rPr>
        <w:t xml:space="preserve">What they found: Controlled carnitine supplementation trial in children with ADHD reported improvements in behavioural and functional outcomes. </w:t>
      </w:r>
      <w:r>
        <w:rPr>
          <w:rFonts w:ascii="Times New Roman" w:hAnsi="Times New Roman"/>
          <w:i/>
          <w:sz w:val="24"/>
        </w:rPr>
        <w:t>Why this matters for the BRS: Demonstrates that a bioenergetic substrate intervention can modify ADHD functional outcomes — supporting BRS4 as a modifiable regulatory system, with BRS4(FM3) substrate flexibility as the most direct FM anchor.</w:t>
      </w:r>
    </w:p>
    <w:p>
      <w:pPr>
        <w:spacing w:line="480" w:lineRule="auto" w:after="120"/>
        <w:ind w:left="360"/>
      </w:pPr>
      <w:r>
        <w:rPr>
          <w:rFonts w:ascii="Times New Roman" w:hAnsi="Times New Roman"/>
          <w:b/>
          <w:sz w:val="24"/>
        </w:rPr>
        <w:t xml:space="preserve">3. Öğütlü et al. (2022) — </w:t>
      </w:r>
      <w:r>
        <w:rPr>
          <w:rFonts w:ascii="Times New Roman" w:hAnsi="Times New Roman"/>
          <w:sz w:val="24"/>
        </w:rPr>
        <w:t xml:space="preserve">What they found: Narrative review synthesises ADHD-relevant mitochondrial biomarker, oxidative-stress, and genetic-variation literature into a coherent mitochondrial dysfunction framing for ADHD. </w:t>
      </w:r>
      <w:r>
        <w:rPr>
          <w:rFonts w:ascii="Times New Roman" w:hAnsi="Times New Roman"/>
          <w:i/>
          <w:sz w:val="24"/>
        </w:rPr>
        <w:t>Why this matters for the BRS: Landmark synthesis anchoring the scientific identity of BRS4 across FM1–FM4 as an emerging but coherent regulatory domain in ADHD research.</w:t>
      </w:r>
    </w:p>
    <w:p>
      <w:pPr>
        <w:pStyle w:val="Heading2"/>
      </w:pPr>
      <w:r>
        <w:rPr>
          <w:sz w:val="26"/>
        </w:rPr>
        <w:t>Cross-BRS integration Evidence</w:t>
      </w:r>
    </w:p>
    <w:p>
      <w:pPr>
        <w:spacing w:line="480" w:lineRule="auto" w:after="80"/>
        <w:ind w:left="360"/>
      </w:pPr>
      <w:r>
        <w:rPr>
          <w:rFonts w:ascii="Times New Roman" w:hAnsi="Times New Roman"/>
          <w:b/>
          <w:sz w:val="24"/>
        </w:rPr>
        <w:t xml:space="preserve">1. BRS4 → BRS1 — </w:t>
      </w:r>
      <w:r>
        <w:rPr>
          <w:rFonts w:ascii="Times New Roman" w:hAnsi="Times New Roman"/>
          <w:sz w:val="24"/>
        </w:rPr>
        <w:t>Bioenergetic capacity supports neurotransmitter synthesis, vesicle cycling, membrane potential maintenance and synaptic signalling.</w:t>
      </w:r>
    </w:p>
    <w:p>
      <w:pPr>
        <w:spacing w:line="480" w:lineRule="auto" w:after="80"/>
        <w:ind w:left="720"/>
      </w:pPr>
      <w:r>
        <w:rPr>
          <w:rFonts w:ascii="Times New Roman" w:hAnsi="Times New Roman"/>
          <w:b/>
          <w:sz w:val="24"/>
        </w:rPr>
        <w:t xml:space="preserve">Harris et al. (2012): </w:t>
      </w:r>
      <w:r>
        <w:rPr>
          <w:rFonts w:ascii="Times New Roman" w:hAnsi="Times New Roman"/>
          <w:sz w:val="24"/>
        </w:rPr>
        <w:t>Landmark review establishing that most brain energy is consumed by synaptic transmission and describing how mitochondrial ATP supply constrains presynaptic vesicle cycling, postsynaptic signalling, Na+/K+-ATPase activity, and synaptic plasticity.</w:t>
      </w:r>
    </w:p>
    <w:p>
      <w:pPr>
        <w:spacing w:line="480" w:lineRule="auto" w:after="80"/>
        <w:ind w:left="720"/>
      </w:pPr>
      <w:r>
        <w:rPr>
          <w:rFonts w:ascii="Times New Roman" w:hAnsi="Times New Roman"/>
          <w:b/>
          <w:sz w:val="24"/>
        </w:rPr>
        <w:t xml:space="preserve">Picard (2015): </w:t>
      </w:r>
      <w:r>
        <w:rPr>
          <w:rFonts w:ascii="Times New Roman" w:hAnsi="Times New Roman"/>
          <w:sz w:val="24"/>
        </w:rPr>
        <w:t>Integrative review framing mitochondria as intracellular signal-processing networks at synapses, linking mitochondrial energetics and neuromodulation to neurotransmitter metabolism and coordinated neuronal output.</w:t>
      </w:r>
    </w:p>
    <w:p>
      <w:pPr>
        <w:spacing w:line="480" w:lineRule="auto" w:after="80"/>
        <w:ind w:left="360"/>
      </w:pPr>
      <w:r>
        <w:rPr>
          <w:rFonts w:ascii="Times New Roman" w:hAnsi="Times New Roman"/>
          <w:b/>
          <w:sz w:val="24"/>
        </w:rPr>
        <w:t xml:space="preserve">2. BRS5 → BRS4 — </w:t>
      </w:r>
      <w:r>
        <w:rPr>
          <w:rFonts w:ascii="Times New Roman" w:hAnsi="Times New Roman"/>
          <w:sz w:val="24"/>
        </w:rPr>
        <w:t>Microbial short-chain fatty acids and gut-derived metabolic signals influence mitochondrial energetics and cellular bioenergetic reserve.</w:t>
      </w:r>
    </w:p>
    <w:p>
      <w:pPr>
        <w:spacing w:line="480" w:lineRule="auto" w:after="80"/>
        <w:ind w:left="720"/>
      </w:pPr>
      <w:r>
        <w:rPr>
          <w:rFonts w:ascii="Times New Roman" w:hAnsi="Times New Roman"/>
          <w:b/>
          <w:sz w:val="24"/>
        </w:rPr>
        <w:t xml:space="preserve">Picard et al. (2014): </w:t>
      </w:r>
      <w:r>
        <w:rPr>
          <w:rFonts w:ascii="Times New Roman" w:hAnsi="Times New Roman"/>
          <w:sz w:val="24"/>
        </w:rPr>
        <w:t>Perspectives review linking mitochondrial energy metabolism, glucose handling, and stress-related pathophysiology — providing a mechanistic frame for how gut-derived metabolic signals influence bioenergetic capacity.</w:t>
      </w:r>
    </w:p>
    <w:p>
      <w:pPr>
        <w:spacing w:line="480" w:lineRule="auto" w:after="80"/>
        <w:ind w:left="720"/>
      </w:pPr>
      <w:r>
        <w:rPr>
          <w:rFonts w:ascii="Times New Roman" w:hAnsi="Times New Roman"/>
          <w:b/>
          <w:sz w:val="24"/>
        </w:rPr>
        <w:t xml:space="preserve">Jaggar et al. (2020): </w:t>
      </w:r>
      <w:r>
        <w:rPr>
          <w:rFonts w:ascii="Times New Roman" w:hAnsi="Times New Roman"/>
          <w:sz w:val="24"/>
        </w:rPr>
        <w:t>Integrative gut–brain review covering microbial metabolite signalling and metabolic interactions that intersect mitochondrial and neuroendocrine adaptive regulation.</w:t>
      </w:r>
    </w:p>
    <w:p>
      <w:pPr>
        <w:spacing w:line="480" w:lineRule="auto" w:after="80"/>
        <w:ind w:left="360"/>
      </w:pPr>
      <w:r>
        <w:rPr>
          <w:rFonts w:ascii="Times New Roman" w:hAnsi="Times New Roman"/>
          <w:b/>
          <w:sz w:val="24"/>
        </w:rPr>
        <w:t xml:space="preserve">3. BRS6 → BRS4 — </w:t>
      </w:r>
      <w:r>
        <w:rPr>
          <w:rFonts w:ascii="Times New Roman" w:hAnsi="Times New Roman"/>
          <w:sz w:val="24"/>
        </w:rPr>
        <w:t>Stress hormones, glycaemic load and neuroendocrine demand shape mitochondrial function and energetic recovery capacity.</w:t>
      </w:r>
    </w:p>
    <w:p>
      <w:pPr>
        <w:spacing w:line="480" w:lineRule="auto" w:after="80"/>
        <w:ind w:left="720"/>
      </w:pPr>
      <w:r>
        <w:rPr>
          <w:rFonts w:ascii="Times New Roman" w:hAnsi="Times New Roman"/>
          <w:b/>
          <w:sz w:val="24"/>
        </w:rPr>
        <w:t xml:space="preserve">Picard et al. (2014): </w:t>
      </w:r>
      <w:r>
        <w:rPr>
          <w:rFonts w:ascii="Times New Roman" w:hAnsi="Times New Roman"/>
          <w:sz w:val="24"/>
        </w:rPr>
        <w:t>Landmark review proposing mitochondrial allostatic load as a subcellular mechanism through which glucocorticoids, glucose imbalance, and chronic stress damage bioenergetic capacity.</w:t>
      </w:r>
    </w:p>
    <w:p>
      <w:pPr>
        <w:spacing w:line="480" w:lineRule="auto" w:after="80"/>
        <w:ind w:left="720"/>
      </w:pPr>
      <w:r>
        <w:rPr>
          <w:rFonts w:ascii="Times New Roman" w:hAnsi="Times New Roman"/>
          <w:b/>
          <w:sz w:val="24"/>
        </w:rPr>
        <w:t xml:space="preserve">McEwen (2006): </w:t>
      </w:r>
      <w:r>
        <w:rPr>
          <w:rFonts w:ascii="Times New Roman" w:hAnsi="Times New Roman"/>
          <w:sz w:val="24"/>
        </w:rPr>
        <w:t>Review of allostasis and allostatic load describing how stress mediators influence metabolic allocation, recovery, and cumulative biological wear with the brain as central interpreter and target.</w:t>
      </w:r>
    </w:p>
    <w:p>
      <w:pPr>
        <w:pStyle w:val="Heading2"/>
      </w:pPr>
      <w:r>
        <w:rPr>
          <w:sz w:val="26"/>
        </w:rPr>
        <w:t>Translational interpretation</w:t>
      </w:r>
    </w:p>
    <w:p>
      <w:pPr>
        <w:spacing w:line="480" w:lineRule="auto" w:after="120"/>
      </w:pPr>
      <w:r>
        <w:rPr>
          <w:rFonts w:ascii="Times New Roman" w:hAnsi="Times New Roman"/>
          <w:sz w:val="24"/>
        </w:rPr>
        <w:t>Primary ADHD cybrid evidence, a controlled carnitine intervention, and narrative synthesis together support mitochondrial bioenergetics as an important and potentially modifiable regulatory system in ADHD — not a universal mitochondrial disease model, but a biological layer where energetic capacity may constrain attention, recovery, and behavioural performance.</w:t>
      </w:r>
    </w:p>
    <w:p>
      <w:pPr>
        <w:spacing w:line="480" w:lineRule="auto" w:after="120"/>
      </w:pPr>
      <w:r>
        <w:rPr>
          <w:rFonts w:ascii="Times New Roman" w:hAnsi="Times New Roman"/>
          <w:sz w:val="24"/>
        </w:rPr>
        <w:t>For adaptive capacity, BRS4 contributes bioenergetic reserve and recovery capacity under sustained demand. Its relationship to neurotransmitter regulation and stress-linked energetic remodelling is described in Cross-BRS integration Evidence. Regulating BRS4 therefore has ADHD relevance for maintaining cognitive and behavioural performance when regulatory burden increases — particularly where energetic recovery between demands is impaired.</w:t>
      </w:r>
    </w:p>
    <w:p>
      <w:pPr>
        <w:pStyle w:val="Heading2"/>
      </w:pPr>
      <w:r>
        <w:t>References</w:t>
      </w:r>
    </w:p>
    <w:p>
      <w:pPr>
        <w:pStyle w:val="ListNumber"/>
        <w:spacing w:line="240" w:lineRule="auto" w:after="60"/>
        <w:ind w:left="360" w:hanging="360"/>
      </w:pPr>
      <w:r>
        <w:rPr>
          <w:rFonts w:ascii="Times New Roman" w:hAnsi="Times New Roman"/>
          <w:sz w:val="22"/>
        </w:rPr>
        <w:t>Verma, P., Singh, A., Nthenge-Ngumbau, D. N., et al. (2016). Attention deficit-hyperactivity disorder suffers from mitochondrial dysfunction. BBA Clinical, 6, 153–158. https://doi.org/10.1016/j.bbacli.2016.10.003</w:t>
      </w:r>
    </w:p>
    <w:p>
      <w:pPr>
        <w:pStyle w:val="ListNumber"/>
        <w:spacing w:line="240" w:lineRule="auto" w:after="60"/>
        <w:ind w:left="360" w:hanging="360"/>
      </w:pPr>
      <w:r>
        <w:rPr>
          <w:rFonts w:ascii="Times New Roman" w:hAnsi="Times New Roman"/>
          <w:sz w:val="22"/>
        </w:rPr>
        <w:t>van Oudheusden, L. J., &amp; Scholte, H. R. (2002). Efficacy of carnitine in the treatment of children with ADHD. Prostaglandins, Leukotrienes and Essential Fatty Acids, 67(1), 33–38. https://doi.org/10.1054/plef.2002.0378</w:t>
      </w:r>
    </w:p>
    <w:p>
      <w:pPr>
        <w:pStyle w:val="ListNumber"/>
        <w:spacing w:line="240" w:lineRule="auto" w:after="60"/>
        <w:ind w:left="360" w:hanging="360"/>
      </w:pPr>
      <w:r>
        <w:rPr>
          <w:rFonts w:ascii="Times New Roman" w:hAnsi="Times New Roman"/>
          <w:sz w:val="22"/>
        </w:rPr>
        <w:t>Öğütlü, H., Kasak, M., &amp; Tabur, S. T. (2022). Mitochondrial dysfunction in ADHD. The Eurasian Journal of Medicine, 54(Suppl 1), S187–S195. https://doi.org/10.5152/eurasianjmed.2022.22187</w:t>
      </w:r>
    </w:p>
    <w:p>
      <w:pPr>
        <w:pStyle w:val="ListNumber"/>
        <w:spacing w:line="240" w:lineRule="auto" w:after="60"/>
        <w:ind w:left="360" w:hanging="360"/>
      </w:pPr>
      <w:r>
        <w:rPr>
          <w:rFonts w:ascii="Times New Roman" w:hAnsi="Times New Roman"/>
          <w:sz w:val="22"/>
        </w:rPr>
        <w:t>Almutairi, M. M., et al. (2024). Mitochondrial dysfunction and mitophagy in ADHD. Saudi Pharmaceutical Journal, 32(12). https://doi.org/10.1016/j.jsps.2024.102212</w:t>
      </w:r>
    </w:p>
    <w:p>
      <w:pPr>
        <w:pStyle w:val="ListNumber"/>
        <w:spacing w:line="240" w:lineRule="auto" w:after="60"/>
        <w:ind w:left="360" w:hanging="360"/>
      </w:pPr>
      <w:r>
        <w:rPr>
          <w:rFonts w:ascii="Times New Roman" w:hAnsi="Times New Roman"/>
          <w:sz w:val="22"/>
        </w:rPr>
        <w:t>Harris, J. J., Jolivet, R., &amp; Attwell, D. (2012). Synaptic energy use and supply. Neuron, 75(5), 762–777. https://doi.org/10.1016/j.neuron.2012.08.019</w:t>
      </w:r>
    </w:p>
    <w:p>
      <w:pPr>
        <w:pStyle w:val="ListNumber"/>
        <w:spacing w:line="240" w:lineRule="auto" w:after="60"/>
        <w:ind w:left="360" w:hanging="360"/>
      </w:pPr>
      <w:r>
        <w:rPr>
          <w:rFonts w:ascii="Times New Roman" w:hAnsi="Times New Roman"/>
          <w:sz w:val="22"/>
        </w:rPr>
        <w:t>Picard, M. (2015). Mitochondrial synapses: Intracellular communication and signal integration. Trends in Neurosciences, 38(8), 468–474. https://doi.org/10.1016/j.tins.2015.06.001</w:t>
      </w:r>
    </w:p>
    <w:p>
      <w:pPr>
        <w:pStyle w:val="ListNumber"/>
        <w:spacing w:line="240" w:lineRule="auto" w:after="60"/>
        <w:ind w:left="360" w:hanging="360"/>
      </w:pPr>
      <w:r>
        <w:rPr>
          <w:rFonts w:ascii="Times New Roman" w:hAnsi="Times New Roman"/>
          <w:sz w:val="22"/>
        </w:rPr>
        <w:t>Picard, M., Juster, R.-P., &amp; McEwen, B. S. (2014). Mitochondrial allostatic load puts the 'gluc' back in glucocorticoids. Nature Reviews Endocrinology, 10(5), 303–310. https://doi.org/10.1038/nrendo.2014.22</w:t>
      </w:r>
    </w:p>
    <w:p>
      <w:pPr>
        <w:pStyle w:val="ListNumber"/>
        <w:spacing w:line="240" w:lineRule="auto" w:after="60"/>
        <w:ind w:left="360" w:hanging="360"/>
      </w:pPr>
      <w:r>
        <w:rPr>
          <w:rFonts w:ascii="Times New Roman" w:hAnsi="Times New Roman"/>
          <w:sz w:val="22"/>
        </w:rPr>
        <w:t>Jaggar, M., Rea, K., Spichak, S., Dinan, T. G., &amp; Cryan, J. F. (2020). You've got male: Sex and the microbiota-gut-brain axis across the lifespan. Frontiers in Neuroendocrinology, 56, 100815. https://doi.org/10.1016/j.yfrne.2019.100815</w:t>
      </w:r>
    </w:p>
    <w:p>
      <w:pPr>
        <w:pStyle w:val="ListNumber"/>
        <w:spacing w:line="240" w:lineRule="auto" w:after="60"/>
        <w:ind w:left="360" w:hanging="360"/>
      </w:pPr>
      <w:r>
        <w:rPr>
          <w:rFonts w:ascii="Times New Roman" w:hAnsi="Times New Roman"/>
          <w:sz w:val="22"/>
        </w:rPr>
        <w:t>McEwen, B. S. (2006). Protective and damaging effects of stress mediators in health and disease. Dialogues in Clinical Neuroscience, 8(4), 377–384. https://doi.org/10.31887/DCNS.2006.8.4/bmcewen</w:t>
      </w:r>
    </w:p>
    <w:p>
      <w:r>
        <w:br w:type="page"/>
      </w:r>
    </w:p>
    <w:p>
      <w:pPr>
        <w:pStyle w:val="Heading1"/>
      </w:pPr>
      <w:r>
        <w:rPr>
          <w:sz w:val="28"/>
        </w:rPr>
        <w:t>BRS5 — Gut-Brain Axis &amp; Enteric Nervous System: Biological Regulatory Identity and ADHD-Relevant Evidence</w:t>
      </w:r>
    </w:p>
    <w:p>
      <w:pPr>
        <w:pStyle w:val="Heading2"/>
      </w:pPr>
      <w:r>
        <w:rPr>
          <w:sz w:val="26"/>
        </w:rPr>
        <w:t>Biological Regulatory System identity</w:t>
      </w:r>
    </w:p>
    <w:p>
      <w:pPr>
        <w:spacing w:line="480" w:lineRule="auto" w:after="120"/>
      </w:pPr>
      <w:r>
        <w:rPr>
          <w:rFonts w:ascii="Times New Roman" w:hAnsi="Times New Roman"/>
          <w:sz w:val="24"/>
        </w:rPr>
        <w:t>BRS5 (Gut-Brain Axis &amp; Enteric Nervous System) describes the integrated peripheral capacity to maintain gut barrier selectivity, supportive microbial ecology, beneficial metabolite signalling, and proportionate gut-to-brain communication. Its Functional Mechanisms — BRS5(FM1) Gut Barrier Integrity &amp; Immune Interface, BRS5(FM2) Microbial Metabolite Signalling Capacity, and BRS5(FM3) Gut-Vagal Neuromodulation &amp; ENS Signalling — form a coordinated gut–brain regulatory system. Gut-derived immune, metabolic, and vagal signals may influence central motivation, attention, and stress responsiveness.</w:t>
      </w:r>
    </w:p>
    <w:p>
      <w:pPr>
        <w:pStyle w:val="Heading2"/>
      </w:pPr>
      <w:r>
        <w:rPr>
          <w:sz w:val="26"/>
        </w:rPr>
        <w:t>Landmark ADHD evidence</w:t>
      </w:r>
    </w:p>
    <w:p>
      <w:pPr>
        <w:spacing w:line="480" w:lineRule="auto" w:after="120"/>
        <w:ind w:left="360"/>
      </w:pPr>
      <w:r>
        <w:rPr>
          <w:rFonts w:ascii="Times New Roman" w:hAnsi="Times New Roman"/>
          <w:b/>
          <w:sz w:val="24"/>
        </w:rPr>
        <w:t xml:space="preserve">1. Steckler et al. (2024) — </w:t>
      </w:r>
      <w:r>
        <w:rPr>
          <w:rFonts w:ascii="Times New Roman" w:hAnsi="Times New Roman"/>
          <w:sz w:val="24"/>
        </w:rPr>
        <w:t xml:space="preserve">What they found: Children with ADHD showed lower faecal short-chain fatty acid levels and gut dysbiosis patterns versus controls. </w:t>
      </w:r>
      <w:r>
        <w:rPr>
          <w:rFonts w:ascii="Times New Roman" w:hAnsi="Times New Roman"/>
          <w:i/>
          <w:sz w:val="24"/>
        </w:rPr>
        <w:t>Why this matters for the BRS: Anchors measurable reduction in microbial metabolite signalling within BRS5(FM2) — establishing gut–metabolite biology as a biologically important regulatory domain in ADHD cohorts.</w:t>
      </w:r>
    </w:p>
    <w:p>
      <w:pPr>
        <w:spacing w:line="480" w:lineRule="auto" w:after="120"/>
        <w:ind w:left="360"/>
      </w:pPr>
      <w:r>
        <w:rPr>
          <w:rFonts w:ascii="Times New Roman" w:hAnsi="Times New Roman"/>
          <w:b/>
          <w:sz w:val="24"/>
        </w:rPr>
        <w:t xml:space="preserve">2. Aarts et al. (2017) — </w:t>
      </w:r>
      <w:r>
        <w:rPr>
          <w:rFonts w:ascii="Times New Roman" w:hAnsi="Times New Roman"/>
          <w:sz w:val="24"/>
        </w:rPr>
        <w:t xml:space="preserve">What they found: Gut microbiome composition in boys with ADHD correlated with neural reward anticipation on fMRI during a monetary incentive delay task. </w:t>
      </w:r>
      <w:r>
        <w:rPr>
          <w:rFonts w:ascii="Times New Roman" w:hAnsi="Times New Roman"/>
          <w:i/>
          <w:sz w:val="24"/>
        </w:rPr>
        <w:t>Why this matters for the BRS: Links gut ecology to central reward circuitry — supporting BRS5 as a gut–brain regulatory system with direct relevance to ADHD motivation and impulsivity biology across FM1 and FM3.</w:t>
      </w:r>
    </w:p>
    <w:p>
      <w:pPr>
        <w:spacing w:line="480" w:lineRule="auto" w:after="120"/>
        <w:ind w:left="360"/>
      </w:pPr>
      <w:r>
        <w:rPr>
          <w:rFonts w:ascii="Times New Roman" w:hAnsi="Times New Roman"/>
          <w:b/>
          <w:sz w:val="24"/>
        </w:rPr>
        <w:t xml:space="preserve">3. Prehn-Kristensen et al. (2018) — </w:t>
      </w:r>
      <w:r>
        <w:rPr>
          <w:rFonts w:ascii="Times New Roman" w:hAnsi="Times New Roman"/>
          <w:sz w:val="24"/>
        </w:rPr>
        <w:t xml:space="preserve">What they found: Reduced microbial alpha diversity reported in paediatric ADHD cohorts versus controls. </w:t>
      </w:r>
      <w:r>
        <w:rPr>
          <w:rFonts w:ascii="Times New Roman" w:hAnsi="Times New Roman"/>
          <w:i/>
          <w:sz w:val="24"/>
        </w:rPr>
        <w:t>Why this matters for the BRS: Establishes ecological disruption as a reproducible ADHD-associated gut feature — supporting BRS5(FM1) and BRS5(FM2) as integrated barrier-and-ecology domains rather than single-taxa stories.</w:t>
      </w:r>
    </w:p>
    <w:p>
      <w:pPr>
        <w:pStyle w:val="Heading2"/>
      </w:pPr>
      <w:r>
        <w:rPr>
          <w:sz w:val="26"/>
        </w:rPr>
        <w:t>Cross-BRS integration Evidence</w:t>
      </w:r>
    </w:p>
    <w:p>
      <w:pPr>
        <w:spacing w:line="480" w:lineRule="auto" w:after="80"/>
        <w:ind w:left="360"/>
      </w:pPr>
      <w:r>
        <w:rPr>
          <w:rFonts w:ascii="Times New Roman" w:hAnsi="Times New Roman"/>
          <w:b/>
          <w:sz w:val="24"/>
        </w:rPr>
        <w:t xml:space="preserve">1. BRS5 → BRS1 — </w:t>
      </w:r>
      <w:r>
        <w:rPr>
          <w:rFonts w:ascii="Times New Roman" w:hAnsi="Times New Roman"/>
          <w:sz w:val="24"/>
        </w:rPr>
        <w:t>Gut-derived microbial metabolites and vagal signalling modulate central neurotransmitter receptor expression and stress-linked neurochemical regulation.</w:t>
      </w:r>
    </w:p>
    <w:p>
      <w:pPr>
        <w:spacing w:line="480" w:lineRule="auto" w:after="80"/>
        <w:ind w:left="720"/>
      </w:pPr>
      <w:r>
        <w:rPr>
          <w:rFonts w:ascii="Times New Roman" w:hAnsi="Times New Roman"/>
          <w:b/>
          <w:sz w:val="24"/>
        </w:rPr>
        <w:t xml:space="preserve">Bravo et al. (2011): </w:t>
      </w:r>
      <w:r>
        <w:rPr>
          <w:rFonts w:ascii="Times New Roman" w:hAnsi="Times New Roman"/>
          <w:sz w:val="24"/>
        </w:rPr>
        <w:t>Landmark experimental demonstration that gut microbiota modulate central GABA receptor expression and stress-related neurochemistry via the vagus nerve — a foundational gut–brain neurotransmitter mechanism.</w:t>
      </w:r>
    </w:p>
    <w:p>
      <w:pPr>
        <w:spacing w:line="480" w:lineRule="auto" w:after="80"/>
        <w:ind w:left="720"/>
      </w:pPr>
      <w:r>
        <w:rPr>
          <w:rFonts w:ascii="Times New Roman" w:hAnsi="Times New Roman"/>
          <w:b/>
          <w:sz w:val="24"/>
        </w:rPr>
        <w:t xml:space="preserve">Jaggar et al. (2020): </w:t>
      </w:r>
      <w:r>
        <w:rPr>
          <w:rFonts w:ascii="Times New Roman" w:hAnsi="Times New Roman"/>
          <w:sz w:val="24"/>
        </w:rPr>
        <w:t>Integrative microbiota–gut–brain axis review synthesising how microbial metabolites, immune signalling, and vagal pathways influence central nervous system function and neurotransmitter-related behaviour.</w:t>
      </w:r>
    </w:p>
    <w:p>
      <w:pPr>
        <w:spacing w:line="480" w:lineRule="auto" w:after="80"/>
        <w:ind w:left="360"/>
      </w:pPr>
      <w:r>
        <w:rPr>
          <w:rFonts w:ascii="Times New Roman" w:hAnsi="Times New Roman"/>
          <w:b/>
          <w:sz w:val="24"/>
        </w:rPr>
        <w:t xml:space="preserve">2. BRS5 → BRS3 — </w:t>
      </w:r>
      <w:r>
        <w:rPr>
          <w:rFonts w:ascii="Times New Roman" w:hAnsi="Times New Roman"/>
          <w:sz w:val="24"/>
        </w:rPr>
        <w:t>Gut barrier integrity and microbial immune signalling influence systemic inflammatory tone and oxidative load.</w:t>
      </w:r>
    </w:p>
    <w:p>
      <w:pPr>
        <w:spacing w:line="480" w:lineRule="auto" w:after="80"/>
        <w:ind w:left="720"/>
      </w:pPr>
      <w:r>
        <w:rPr>
          <w:rFonts w:ascii="Times New Roman" w:hAnsi="Times New Roman"/>
          <w:b/>
          <w:sz w:val="24"/>
        </w:rPr>
        <w:t xml:space="preserve">O'Mahony et al. (2015): </w:t>
      </w:r>
      <w:r>
        <w:rPr>
          <w:rFonts w:ascii="Times New Roman" w:hAnsi="Times New Roman"/>
          <w:sz w:val="24"/>
        </w:rPr>
        <w:t>Review of microbiota–gut–brain communication describing immune and serotonergic signalling pathways through which gut ecology modulates central and peripheral inflammatory biology.</w:t>
      </w:r>
    </w:p>
    <w:p>
      <w:pPr>
        <w:spacing w:line="480" w:lineRule="auto" w:after="80"/>
        <w:ind w:left="720"/>
      </w:pPr>
      <w:r>
        <w:rPr>
          <w:rFonts w:ascii="Times New Roman" w:hAnsi="Times New Roman"/>
          <w:b/>
          <w:sz w:val="24"/>
        </w:rPr>
        <w:t xml:space="preserve">Slavich &amp; Irwin (2014): </w:t>
      </w:r>
      <w:r>
        <w:rPr>
          <w:rFonts w:ascii="Times New Roman" w:hAnsi="Times New Roman"/>
          <w:sz w:val="24"/>
        </w:rPr>
        <w:t>Integrative framework linking environmental and social stressors to pro-inflammatory signalling — relevant to how gut-immune perturbation propagates inflammatory burden across systems.</w:t>
      </w:r>
    </w:p>
    <w:p>
      <w:pPr>
        <w:spacing w:line="480" w:lineRule="auto" w:after="80"/>
        <w:ind w:left="360"/>
      </w:pPr>
      <w:r>
        <w:rPr>
          <w:rFonts w:ascii="Times New Roman" w:hAnsi="Times New Roman"/>
          <w:b/>
          <w:sz w:val="24"/>
        </w:rPr>
        <w:t xml:space="preserve">3. BRS5 → BRS4 — </w:t>
      </w:r>
      <w:r>
        <w:rPr>
          <w:rFonts w:ascii="Times New Roman" w:hAnsi="Times New Roman"/>
          <w:sz w:val="24"/>
        </w:rPr>
        <w:t>Microbial short-chain fatty acids and gut-derived metabolic signals influence mitochondrial energetics and cellular bioenergetic reserve.</w:t>
      </w:r>
    </w:p>
    <w:p>
      <w:pPr>
        <w:spacing w:line="480" w:lineRule="auto" w:after="80"/>
        <w:ind w:left="720"/>
      </w:pPr>
      <w:r>
        <w:rPr>
          <w:rFonts w:ascii="Times New Roman" w:hAnsi="Times New Roman"/>
          <w:b/>
          <w:sz w:val="24"/>
        </w:rPr>
        <w:t xml:space="preserve">Picard et al. (2014): </w:t>
      </w:r>
      <w:r>
        <w:rPr>
          <w:rFonts w:ascii="Times New Roman" w:hAnsi="Times New Roman"/>
          <w:sz w:val="24"/>
        </w:rPr>
        <w:t>Perspectives review linking mitochondrial energy metabolism, glucose handling, and stress-related pathophysiology — providing a mechanistic frame for how gut-derived metabolic signals influence bioenergetic capacity.</w:t>
      </w:r>
    </w:p>
    <w:p>
      <w:pPr>
        <w:spacing w:line="480" w:lineRule="auto" w:after="80"/>
        <w:ind w:left="720"/>
      </w:pPr>
      <w:r>
        <w:rPr>
          <w:rFonts w:ascii="Times New Roman" w:hAnsi="Times New Roman"/>
          <w:b/>
          <w:sz w:val="24"/>
        </w:rPr>
        <w:t xml:space="preserve">Jaggar et al. (2020): </w:t>
      </w:r>
      <w:r>
        <w:rPr>
          <w:rFonts w:ascii="Times New Roman" w:hAnsi="Times New Roman"/>
          <w:sz w:val="24"/>
        </w:rPr>
        <w:t>Integrative gut–brain review covering microbial metabolite signalling and metabolic interactions that intersect mitochondrial and neuroendocrine adaptive regulation.</w:t>
      </w:r>
    </w:p>
    <w:p>
      <w:pPr>
        <w:spacing w:line="480" w:lineRule="auto" w:after="80"/>
        <w:ind w:left="360"/>
      </w:pPr>
      <w:r>
        <w:rPr>
          <w:rFonts w:ascii="Times New Roman" w:hAnsi="Times New Roman"/>
          <w:b/>
          <w:sz w:val="24"/>
        </w:rPr>
        <w:t xml:space="preserve">4. BRS5 → BRS6 — </w:t>
      </w:r>
      <w:r>
        <w:rPr>
          <w:rFonts w:ascii="Times New Roman" w:hAnsi="Times New Roman"/>
          <w:sz w:val="24"/>
        </w:rPr>
        <w:t>Gut–vagal signalling and microbial metabolites influence autonomic tone and stress-axis responsiveness.</w:t>
      </w:r>
    </w:p>
    <w:p>
      <w:pPr>
        <w:spacing w:line="480" w:lineRule="auto" w:after="80"/>
        <w:ind w:left="720"/>
      </w:pPr>
      <w:r>
        <w:rPr>
          <w:rFonts w:ascii="Times New Roman" w:hAnsi="Times New Roman"/>
          <w:b/>
          <w:sz w:val="24"/>
        </w:rPr>
        <w:t xml:space="preserve">Bravo et al. (2011): </w:t>
      </w:r>
      <w:r>
        <w:rPr>
          <w:rFonts w:ascii="Times New Roman" w:hAnsi="Times New Roman"/>
          <w:sz w:val="24"/>
        </w:rPr>
        <w:t>Experimental evidence that gut microbiota modulate HPA-axis stress responses and central neurochemistry via vagal pathways.</w:t>
      </w:r>
    </w:p>
    <w:p>
      <w:pPr>
        <w:spacing w:line="480" w:lineRule="auto" w:after="80"/>
        <w:ind w:left="720"/>
      </w:pPr>
      <w:r>
        <w:rPr>
          <w:rFonts w:ascii="Times New Roman" w:hAnsi="Times New Roman"/>
          <w:b/>
          <w:sz w:val="24"/>
        </w:rPr>
        <w:t xml:space="preserve">Thayer et al. (2012): </w:t>
      </w:r>
      <w:r>
        <w:rPr>
          <w:rFonts w:ascii="Times New Roman" w:hAnsi="Times New Roman"/>
          <w:sz w:val="24"/>
        </w:rPr>
        <w:t>Review linking autonomic regulation to stress neurobiology and central nervous system function — supporting vagal–neuroendocrine integration.</w:t>
      </w:r>
    </w:p>
    <w:p>
      <w:pPr>
        <w:pStyle w:val="Heading2"/>
      </w:pPr>
      <w:r>
        <w:rPr>
          <w:sz w:val="26"/>
        </w:rPr>
        <w:t>Translational interpretation</w:t>
      </w:r>
    </w:p>
    <w:p>
      <w:pPr>
        <w:spacing w:line="480" w:lineRule="auto" w:after="120"/>
      </w:pPr>
      <w:r>
        <w:rPr>
          <w:rFonts w:ascii="Times New Roman" w:hAnsi="Times New Roman"/>
          <w:sz w:val="24"/>
        </w:rPr>
        <w:t>Converging ADHD evidence of reduced SCFA output, altered microbial diversity, and gut–reward circuitry coupling supports the gut–brain axis as an important and modifiable regulatory system in ADHD. Dietary fermentable fibre, fermented foods, and diverse plant intake may influence barrier integrity, microbial metabolite output, and vagal signalling as coordinated inputs to gut–brain regulation.</w:t>
      </w:r>
    </w:p>
    <w:p>
      <w:pPr>
        <w:spacing w:line="480" w:lineRule="auto" w:after="120"/>
      </w:pPr>
      <w:r>
        <w:rPr>
          <w:rFonts w:ascii="Times New Roman" w:hAnsi="Times New Roman"/>
          <w:sz w:val="24"/>
        </w:rPr>
        <w:t>For adaptive capacity, BRS5 contributes gut-derived immune, metabolic, and vagal signalling that shapes how the body responds to environmental and physiological demand. Cross-system dependencies with inflammatory, bioenergetic, and neuroendocrine regulation are outlined in Cross-BRS integration Evidence. Regulating BRS5 therefore has ADHD relevance as a peripheral system that may influence central regulatory burden and resilience when stress, diet, or immune challenge accumulate.</w:t>
      </w:r>
    </w:p>
    <w:p>
      <w:pPr>
        <w:pStyle w:val="Heading2"/>
      </w:pPr>
      <w:r>
        <w:t>References</w:t>
      </w:r>
    </w:p>
    <w:p>
      <w:pPr>
        <w:pStyle w:val="ListNumber"/>
        <w:spacing w:line="240" w:lineRule="auto" w:after="60"/>
        <w:ind w:left="360" w:hanging="360"/>
      </w:pPr>
      <w:r>
        <w:rPr>
          <w:rFonts w:ascii="Times New Roman" w:hAnsi="Times New Roman"/>
          <w:sz w:val="22"/>
        </w:rPr>
        <w:t>Steckler, R., Magzal, F., Kokot, M., et al. (2024). Disrupted gut harmony in ADHD. Brain, Behavior, &amp; Immunity—Health, 40, 100829. https://doi.org/10.1016/j.bbih.2024.100829</w:t>
      </w:r>
    </w:p>
    <w:p>
      <w:pPr>
        <w:pStyle w:val="ListNumber"/>
        <w:spacing w:line="240" w:lineRule="auto" w:after="60"/>
        <w:ind w:left="360" w:hanging="360"/>
      </w:pPr>
      <w:r>
        <w:rPr>
          <w:rFonts w:ascii="Times New Roman" w:hAnsi="Times New Roman"/>
          <w:sz w:val="22"/>
        </w:rPr>
        <w:t>Aarts, E., Ederveen, T. H. A., Naaijen, J., et al. (2017). Gut microbiome in ADHD and its relation to neural reward anticipation. PLOS ONE, 12(9). https://doi.org/10.1371/journal.pone.0183509</w:t>
      </w:r>
    </w:p>
    <w:p>
      <w:pPr>
        <w:pStyle w:val="ListNumber"/>
        <w:spacing w:line="240" w:lineRule="auto" w:after="60"/>
        <w:ind w:left="360" w:hanging="360"/>
      </w:pPr>
      <w:r>
        <w:rPr>
          <w:rFonts w:ascii="Times New Roman" w:hAnsi="Times New Roman"/>
          <w:sz w:val="22"/>
        </w:rPr>
        <w:t>Prehn-Kristensen, A., et al. (2018). Reduced microbiome alpha diversity in young patients with ADHD. PLOS ONE, 13(7). https://doi.org/10.1371/journal.pone.0200728</w:t>
      </w:r>
    </w:p>
    <w:p>
      <w:pPr>
        <w:pStyle w:val="ListNumber"/>
        <w:spacing w:line="240" w:lineRule="auto" w:after="60"/>
        <w:ind w:left="360" w:hanging="360"/>
      </w:pPr>
      <w:r>
        <w:rPr>
          <w:rFonts w:ascii="Times New Roman" w:hAnsi="Times New Roman"/>
          <w:sz w:val="22"/>
        </w:rPr>
        <w:t>Jiang, H.-Y., et al. (2018). Gut microbiota profiles in treatment-naïve children with ADHD. Behavioural Brain Research, 347, 408–413. https://doi.org/10.1016/j.bbr.2018.03.036</w:t>
      </w:r>
    </w:p>
    <w:p>
      <w:pPr>
        <w:pStyle w:val="ListNumber"/>
        <w:spacing w:line="240" w:lineRule="auto" w:after="60"/>
        <w:ind w:left="360" w:hanging="360"/>
      </w:pPr>
      <w:r>
        <w:rPr>
          <w:rFonts w:ascii="Times New Roman" w:hAnsi="Times New Roman"/>
          <w:sz w:val="22"/>
        </w:rPr>
        <w:t>Bravo, J. A., Forsythe, P., Chew, M. V., Escaravage, E. M., Savignac, H. M., Dinan, T. G., Bienenstock, J., &amp; Cryan, J. F. (2011). Ingestion of Lactobacillus strain regulates emotional behavior and central GABA receptor expression in a mouse via the vagus nerve. Proceedings of the National Academy of Sciences, 108(38), 16050–16055. https://doi.org/10.1073/pnas.1102999108</w:t>
      </w:r>
    </w:p>
    <w:p>
      <w:pPr>
        <w:pStyle w:val="ListNumber"/>
        <w:spacing w:line="240" w:lineRule="auto" w:after="60"/>
        <w:ind w:left="360" w:hanging="360"/>
      </w:pPr>
      <w:r>
        <w:rPr>
          <w:rFonts w:ascii="Times New Roman" w:hAnsi="Times New Roman"/>
          <w:sz w:val="22"/>
        </w:rPr>
        <w:t>Jaggar, M., Rea, K., Spichak, S., Dinan, T. G., &amp; Cryan, J. F. (2020). You've got male: Sex and the microbiota-gut-brain axis across the lifespan. Frontiers in Neuroendocrinology, 56, 100815. https://doi.org/10.1016/j.yfrne.2019.100815</w:t>
      </w:r>
    </w:p>
    <w:p>
      <w:pPr>
        <w:pStyle w:val="ListNumber"/>
        <w:spacing w:line="240" w:lineRule="auto" w:after="60"/>
        <w:ind w:left="360" w:hanging="360"/>
      </w:pPr>
      <w:r>
        <w:rPr>
          <w:rFonts w:ascii="Times New Roman" w:hAnsi="Times New Roman"/>
          <w:sz w:val="22"/>
        </w:rPr>
        <w:t>O'Mahony, S. M., Clarke, G., Borre, Y. E., Dinan, T. G., &amp; Cryan, J. F. (2015). Serotonin, tryptophan metabolism and the brain-gut-microbiome axis. Behavioural Brain Research, 277, 32–48. https://doi.org/10.1016/j.bbr.2014.07.027</w:t>
      </w:r>
    </w:p>
    <w:p>
      <w:pPr>
        <w:pStyle w:val="ListNumber"/>
        <w:spacing w:line="240" w:lineRule="auto" w:after="60"/>
        <w:ind w:left="360" w:hanging="360"/>
      </w:pPr>
      <w:r>
        <w:rPr>
          <w:rFonts w:ascii="Times New Roman" w:hAnsi="Times New Roman"/>
          <w:sz w:val="22"/>
        </w:rPr>
        <w:t>Slavich, G. M., &amp; Irwin, M. R. (2014). From stress to inflammation and major depressive disorder: A social signal transduction theory of depression. Psychological Bulletin, 140(3), 774–815. https://doi.org/10.1037/a0035302</w:t>
      </w:r>
    </w:p>
    <w:p>
      <w:pPr>
        <w:pStyle w:val="ListNumber"/>
        <w:spacing w:line="240" w:lineRule="auto" w:after="60"/>
        <w:ind w:left="360" w:hanging="360"/>
      </w:pPr>
      <w:r>
        <w:rPr>
          <w:rFonts w:ascii="Times New Roman" w:hAnsi="Times New Roman"/>
          <w:sz w:val="22"/>
        </w:rPr>
        <w:t>Picard, M., Juster, R.-P., &amp; McEwen, B. S. (2014). Mitochondrial allostatic load puts the 'gluc' back in glucocorticoids. Nature Reviews Endocrinology, 10(5), 303–310. https://doi.org/10.1038/nrendo.2014.22</w:t>
      </w:r>
    </w:p>
    <w:p>
      <w:pPr>
        <w:pStyle w:val="ListNumber"/>
        <w:spacing w:line="240" w:lineRule="auto" w:after="60"/>
        <w:ind w:left="360" w:hanging="360"/>
      </w:pPr>
      <w:r>
        <w:rPr>
          <w:rFonts w:ascii="Times New Roman" w:hAnsi="Times New Roman"/>
          <w:sz w:val="22"/>
        </w:rPr>
        <w:t>Thayer, J. F., Ahs,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r>
        <w:br w:type="page"/>
      </w:r>
    </w:p>
    <w:p>
      <w:pPr>
        <w:pStyle w:val="Heading1"/>
      </w:pPr>
      <w:r>
        <w:rPr>
          <w:sz w:val="28"/>
        </w:rPr>
        <w:t>BRS6 — Metabolic &amp; Neuroendocrine Regulation: Biological Regulatory Identity and ADHD-Relevant Evidence</w:t>
      </w:r>
    </w:p>
    <w:p>
      <w:pPr>
        <w:pStyle w:val="Heading2"/>
      </w:pPr>
      <w:r>
        <w:rPr>
          <w:sz w:val="26"/>
        </w:rPr>
        <w:t>Biological Regulatory System identity</w:t>
      </w:r>
    </w:p>
    <w:p>
      <w:pPr>
        <w:spacing w:line="480" w:lineRule="auto" w:after="120"/>
      </w:pPr>
      <w:r>
        <w:rPr>
          <w:rFonts w:ascii="Times New Roman" w:hAnsi="Times New Roman"/>
          <w:sz w:val="24"/>
        </w:rPr>
        <w:t>BRS6 (Metabolic &amp; Neuroendocrine Regulation) describes the integrated whole-body capacity to maintain glycaemic stability, HPA-axis cortisol rhythm, autonomic balance, and proportionate stress–metabolic load allocation. Its Functional Mechanisms — BRS6(FM1) Glycaemic–Insulin Stability &amp; Cognitive Energy Availability, BRS6(FM2) HPA Axis Rhythm &amp; Cortisol Regulation, BRS6(FM3) Autonomic Balance &amp; Vagal Recovery Capacity, and BRS6(FM4) Stress-Inflammation / Metabolic Load Allocation — represent the principal systems involved in adaptive response and recovery. BRS6 is the strongest conceptual bridge to allostatic theory within the BRAIN Framework.</w:t>
      </w:r>
    </w:p>
    <w:p>
      <w:pPr>
        <w:pStyle w:val="Heading2"/>
      </w:pPr>
      <w:r>
        <w:rPr>
          <w:sz w:val="26"/>
        </w:rPr>
        <w:t>Landmark ADHD evidence</w:t>
      </w:r>
    </w:p>
    <w:p>
      <w:pPr>
        <w:spacing w:line="480" w:lineRule="auto" w:after="120"/>
        <w:ind w:left="360"/>
      </w:pPr>
      <w:r>
        <w:rPr>
          <w:rFonts w:ascii="Times New Roman" w:hAnsi="Times New Roman"/>
          <w:b/>
          <w:sz w:val="24"/>
        </w:rPr>
        <w:t xml:space="preserve">1. Chang et al. (2021) — </w:t>
      </w:r>
      <w:r>
        <w:rPr>
          <w:rFonts w:ascii="Times New Roman" w:hAnsi="Times New Roman"/>
          <w:sz w:val="24"/>
        </w:rPr>
        <w:t xml:space="preserve">What they found: Systematic review with meta-analysis reported altered basal and morning cortisol patterns in youths with ADHD compared with typically developing peers. </w:t>
      </w:r>
      <w:r>
        <w:rPr>
          <w:rFonts w:ascii="Times New Roman" w:hAnsi="Times New Roman"/>
          <w:i/>
          <w:sz w:val="24"/>
        </w:rPr>
        <w:t>Why this matters for the BRS: Anchors HPA-axis rhythm dysregulation as a reproducible ADHD neuroendocrine signature — establishing BRS6(FM2) as a landmark regulatory domain and the principal allostatic gateway within the framework.</w:t>
      </w:r>
    </w:p>
    <w:p>
      <w:pPr>
        <w:spacing w:line="480" w:lineRule="auto" w:after="120"/>
        <w:ind w:left="360"/>
      </w:pPr>
      <w:r>
        <w:rPr>
          <w:rFonts w:ascii="Times New Roman" w:hAnsi="Times New Roman"/>
          <w:b/>
          <w:sz w:val="24"/>
        </w:rPr>
        <w:t xml:space="preserve">2. Lane et al. (2010) — </w:t>
      </w:r>
      <w:r>
        <w:rPr>
          <w:rFonts w:ascii="Times New Roman" w:hAnsi="Times New Roman"/>
          <w:sz w:val="24"/>
        </w:rPr>
        <w:t xml:space="preserve">What they found: Sensory over-responsivity differentiated from ADHD using electrodermal responses, cortisol, and anxiety markers — implicating autonomic arousal and recovery biology. </w:t>
      </w:r>
      <w:r>
        <w:rPr>
          <w:rFonts w:ascii="Times New Roman" w:hAnsi="Times New Roman"/>
          <w:i/>
          <w:sz w:val="24"/>
        </w:rPr>
        <w:t>Why this matters for the BRS: Supports BRS6(FM3) Autonomic Balance &amp; Vagal Recovery Capacity as a measurable regulatory domain intersecting ADHD stress-responsiveness biology.</w:t>
      </w:r>
    </w:p>
    <w:p>
      <w:pPr>
        <w:spacing w:line="480" w:lineRule="auto" w:after="120"/>
        <w:ind w:left="360"/>
      </w:pPr>
      <w:r>
        <w:rPr>
          <w:rFonts w:ascii="Times New Roman" w:hAnsi="Times New Roman"/>
          <w:b/>
          <w:sz w:val="24"/>
        </w:rPr>
        <w:t xml:space="preserve">3. Di Girolamo et al. (2022) — </w:t>
      </w:r>
      <w:r>
        <w:rPr>
          <w:rFonts w:ascii="Times New Roman" w:hAnsi="Times New Roman"/>
          <w:sz w:val="24"/>
        </w:rPr>
        <w:t xml:space="preserve">What they found: Adult ADHD outpatients showed higher prevalence of metabolic syndrome and insulin resistance versus expected population rates. </w:t>
      </w:r>
      <w:r>
        <w:rPr>
          <w:rFonts w:ascii="Times New Roman" w:hAnsi="Times New Roman"/>
          <w:i/>
          <w:sz w:val="24"/>
        </w:rPr>
        <w:t>Why this matters for the BRS: Links ADHD to chronic metabolic-regulatory burden across BRS6(FM1) and BRS6(FM4) — supporting metabolic–neuroendocrine regulation as a long-term adaptive-load domain, not only an acute stress response.</w:t>
      </w:r>
    </w:p>
    <w:p>
      <w:pPr>
        <w:pStyle w:val="Heading2"/>
      </w:pPr>
      <w:r>
        <w:rPr>
          <w:sz w:val="26"/>
        </w:rPr>
        <w:t>Cross-BRS integration Evidence</w:t>
      </w:r>
    </w:p>
    <w:p>
      <w:pPr>
        <w:spacing w:line="480" w:lineRule="auto" w:after="80"/>
        <w:ind w:left="360"/>
      </w:pPr>
      <w:r>
        <w:rPr>
          <w:rFonts w:ascii="Times New Roman" w:hAnsi="Times New Roman"/>
          <w:b/>
          <w:sz w:val="24"/>
        </w:rPr>
        <w:t xml:space="preserve">1. BRS6 → BRS1 — </w:t>
      </w:r>
      <w:r>
        <w:rPr>
          <w:rFonts w:ascii="Times New Roman" w:hAnsi="Times New Roman"/>
          <w:sz w:val="24"/>
        </w:rPr>
        <w:t>HPA-axis regulation, autonomic balance and glycaemic stability shape neurotransmitter signalling during stress and cognitive demand.</w:t>
      </w:r>
    </w:p>
    <w:p>
      <w:pPr>
        <w:spacing w:line="480" w:lineRule="auto" w:after="80"/>
        <w:ind w:left="720"/>
      </w:pPr>
      <w:r>
        <w:rPr>
          <w:rFonts w:ascii="Times New Roman" w:hAnsi="Times New Roman"/>
          <w:b/>
          <w:sz w:val="24"/>
        </w:rPr>
        <w:t xml:space="preserve">McEwen (1998): </w:t>
      </w:r>
      <w:r>
        <w:rPr>
          <w:rFonts w:ascii="Times New Roman" w:hAnsi="Times New Roman"/>
          <w:sz w:val="24"/>
        </w:rPr>
        <w:t>Foundational review of how stress mediators — particularly cortisol dynamics — protect and damage brain structure and function, with direct implications for neurotransmitter systems and cognitive performance under adaptive demand.</w:t>
      </w:r>
    </w:p>
    <w:p>
      <w:pPr>
        <w:spacing w:line="480" w:lineRule="auto" w:after="80"/>
        <w:ind w:left="720"/>
      </w:pPr>
      <w:r>
        <w:rPr>
          <w:rFonts w:ascii="Times New Roman" w:hAnsi="Times New Roman"/>
          <w:b/>
          <w:sz w:val="24"/>
        </w:rPr>
        <w:t xml:space="preserve">Thayer et al. (2012): </w:t>
      </w:r>
      <w:r>
        <w:rPr>
          <w:rFonts w:ascii="Times New Roman" w:hAnsi="Times New Roman"/>
          <w:sz w:val="24"/>
        </w:rPr>
        <w:t>Meta-analytic review linking autonomic regulation (heart-rate variability) to stress neurobiology, cortisol dynamics, and central nervous system function — supporting autonomic–neurotransmitter coupling under load.</w:t>
      </w:r>
    </w:p>
    <w:p>
      <w:pPr>
        <w:spacing w:line="480" w:lineRule="auto" w:after="80"/>
        <w:ind w:left="360"/>
      </w:pPr>
      <w:r>
        <w:rPr>
          <w:rFonts w:ascii="Times New Roman" w:hAnsi="Times New Roman"/>
          <w:b/>
          <w:sz w:val="24"/>
        </w:rPr>
        <w:t xml:space="preserve">2. BRS6 → BRS3 — </w:t>
      </w:r>
      <w:r>
        <w:rPr>
          <w:rFonts w:ascii="Times New Roman" w:hAnsi="Times New Roman"/>
          <w:sz w:val="24"/>
        </w:rPr>
        <w:t>HPA-axis and autonomic stress signalling interact with inflammatory and oxidative biology during sustained adaptive demand.</w:t>
      </w:r>
    </w:p>
    <w:p>
      <w:pPr>
        <w:spacing w:line="480" w:lineRule="auto" w:after="80"/>
        <w:ind w:left="720"/>
      </w:pPr>
      <w:r>
        <w:rPr>
          <w:rFonts w:ascii="Times New Roman" w:hAnsi="Times New Roman"/>
          <w:b/>
          <w:sz w:val="24"/>
        </w:rPr>
        <w:t xml:space="preserve">McEwen (2006): </w:t>
      </w:r>
      <w:r>
        <w:rPr>
          <w:rFonts w:ascii="Times New Roman" w:hAnsi="Times New Roman"/>
          <w:sz w:val="24"/>
        </w:rPr>
        <w:t>Foundational allostasis review describing bidirectional interactions between stress mediators, immune-inflammatory processes, and cumulative regulatory burden.</w:t>
      </w:r>
    </w:p>
    <w:p>
      <w:pPr>
        <w:spacing w:line="480" w:lineRule="auto" w:after="80"/>
        <w:ind w:left="720"/>
      </w:pPr>
      <w:r>
        <w:rPr>
          <w:rFonts w:ascii="Times New Roman" w:hAnsi="Times New Roman"/>
          <w:b/>
          <w:sz w:val="24"/>
        </w:rPr>
        <w:t xml:space="preserve">Slavich &amp; Irwin (2014): </w:t>
      </w:r>
      <w:r>
        <w:rPr>
          <w:rFonts w:ascii="Times New Roman" w:hAnsi="Times New Roman"/>
          <w:sz w:val="24"/>
        </w:rPr>
        <w:t>Integrative review linking stress neurobiology to pro-inflammatory cytokine activation and downstream CNS consequences — the principal mechanistic bridge between neuroendocrine stress and inflammatory load.</w:t>
      </w:r>
    </w:p>
    <w:p>
      <w:pPr>
        <w:spacing w:line="480" w:lineRule="auto" w:after="80"/>
        <w:ind w:left="360"/>
      </w:pPr>
      <w:r>
        <w:rPr>
          <w:rFonts w:ascii="Times New Roman" w:hAnsi="Times New Roman"/>
          <w:b/>
          <w:sz w:val="24"/>
        </w:rPr>
        <w:t xml:space="preserve">3. BRS6 → BRS4 — </w:t>
      </w:r>
      <w:r>
        <w:rPr>
          <w:rFonts w:ascii="Times New Roman" w:hAnsi="Times New Roman"/>
          <w:sz w:val="24"/>
        </w:rPr>
        <w:t>Stress hormones, glycaemic load and neuroendocrine demand shape mitochondrial function and energetic recovery capacity.</w:t>
      </w:r>
    </w:p>
    <w:p>
      <w:pPr>
        <w:spacing w:line="480" w:lineRule="auto" w:after="80"/>
        <w:ind w:left="720"/>
      </w:pPr>
      <w:r>
        <w:rPr>
          <w:rFonts w:ascii="Times New Roman" w:hAnsi="Times New Roman"/>
          <w:b/>
          <w:sz w:val="24"/>
        </w:rPr>
        <w:t xml:space="preserve">Picard et al. (2014): </w:t>
      </w:r>
      <w:r>
        <w:rPr>
          <w:rFonts w:ascii="Times New Roman" w:hAnsi="Times New Roman"/>
          <w:sz w:val="24"/>
        </w:rPr>
        <w:t>Landmark review proposing mitochondrial allostatic load as a subcellular mechanism through which glucocorticoids, glucose imbalance, and chronic stress damage bioenergetic capacity.</w:t>
      </w:r>
    </w:p>
    <w:p>
      <w:pPr>
        <w:spacing w:line="480" w:lineRule="auto" w:after="80"/>
        <w:ind w:left="720"/>
      </w:pPr>
      <w:r>
        <w:rPr>
          <w:rFonts w:ascii="Times New Roman" w:hAnsi="Times New Roman"/>
          <w:b/>
          <w:sz w:val="24"/>
        </w:rPr>
        <w:t xml:space="preserve">McEwen (2006): </w:t>
      </w:r>
      <w:r>
        <w:rPr>
          <w:rFonts w:ascii="Times New Roman" w:hAnsi="Times New Roman"/>
          <w:sz w:val="24"/>
        </w:rPr>
        <w:t>Review of allostasis and allostatic load describing how stress mediators influence metabolic allocation, recovery, and cumulative biological wear with the brain as central interpreter and target.</w:t>
      </w:r>
    </w:p>
    <w:p>
      <w:pPr>
        <w:spacing w:line="480" w:lineRule="auto" w:after="80"/>
        <w:ind w:left="360"/>
      </w:pPr>
      <w:r>
        <w:rPr>
          <w:rFonts w:ascii="Times New Roman" w:hAnsi="Times New Roman"/>
          <w:b/>
          <w:sz w:val="24"/>
        </w:rPr>
        <w:t xml:space="preserve">4. BRS5 → BRS6 — </w:t>
      </w:r>
      <w:r>
        <w:rPr>
          <w:rFonts w:ascii="Times New Roman" w:hAnsi="Times New Roman"/>
          <w:sz w:val="24"/>
        </w:rPr>
        <w:t>Gut–vagal signalling and microbial metabolites influence autonomic tone and stress-axis responsiveness.</w:t>
      </w:r>
    </w:p>
    <w:p>
      <w:pPr>
        <w:spacing w:line="480" w:lineRule="auto" w:after="80"/>
        <w:ind w:left="720"/>
      </w:pPr>
      <w:r>
        <w:rPr>
          <w:rFonts w:ascii="Times New Roman" w:hAnsi="Times New Roman"/>
          <w:b/>
          <w:sz w:val="24"/>
        </w:rPr>
        <w:t xml:space="preserve">Bravo et al. (2011): </w:t>
      </w:r>
      <w:r>
        <w:rPr>
          <w:rFonts w:ascii="Times New Roman" w:hAnsi="Times New Roman"/>
          <w:sz w:val="24"/>
        </w:rPr>
        <w:t>Experimental evidence that gut microbiota modulate HPA-axis stress responses and central neurochemistry via vagal pathways.</w:t>
      </w:r>
    </w:p>
    <w:p>
      <w:pPr>
        <w:spacing w:line="480" w:lineRule="auto" w:after="80"/>
        <w:ind w:left="720"/>
      </w:pPr>
      <w:r>
        <w:rPr>
          <w:rFonts w:ascii="Times New Roman" w:hAnsi="Times New Roman"/>
          <w:b/>
          <w:sz w:val="24"/>
        </w:rPr>
        <w:t xml:space="preserve">Thayer et al. (2012): </w:t>
      </w:r>
      <w:r>
        <w:rPr>
          <w:rFonts w:ascii="Times New Roman" w:hAnsi="Times New Roman"/>
          <w:sz w:val="24"/>
        </w:rPr>
        <w:t>Review linking autonomic regulation to stress neurobiology and central nervous system function — supporting vagal–neuroendocrine integration.</w:t>
      </w:r>
    </w:p>
    <w:p>
      <w:pPr>
        <w:pStyle w:val="Heading2"/>
      </w:pPr>
      <w:r>
        <w:rPr>
          <w:sz w:val="26"/>
        </w:rPr>
        <w:t>Translational interpretation</w:t>
      </w:r>
    </w:p>
    <w:p>
      <w:pPr>
        <w:spacing w:line="480" w:lineRule="auto" w:after="120"/>
      </w:pPr>
      <w:r>
        <w:rPr>
          <w:rFonts w:ascii="Times New Roman" w:hAnsi="Times New Roman"/>
          <w:sz w:val="24"/>
        </w:rPr>
        <w:t>Converging ADHD evidence of cortisol rhythm alteration, autonomic differentiation under sensory stress, and metabolic comorbidity supports BRS6 as the principal allostatic gateway within the BRAIN Framework. HPA-axis timing, autonomic recovery, glycaemic stability, and stress-linked metabolic allocation are the systems most directly involved in how biological resources are mobilised and restored under demand.</w:t>
      </w:r>
    </w:p>
    <w:p>
      <w:pPr>
        <w:spacing w:line="480" w:lineRule="auto" w:after="120"/>
      </w:pPr>
      <w:r>
        <w:rPr>
          <w:rFonts w:ascii="Times New Roman" w:hAnsi="Times New Roman"/>
          <w:sz w:val="24"/>
        </w:rPr>
        <w:t>Regulating BRS6 has ADHD relevance because dysregulated neuroendocrine and metabolic responses may increase regulatory burden on cognition, emotion, reward processing, and treatment response. Meal composition, circadian-aligned feeding, sleep regularity, and stress-recovery routines may influence cortisol phase, autonomic downshift, and metabolic load allocation. Cross-system dependencies with neurotransmitter, inflammatory, and bioenergetic regulation are described in Cross-BRS integration Evidence. The BRAIN Framework uses allostatic theory here not to explain ADHD causation, but to show how BRS6-centred regulation may support adaptive capacity and lower cumulative biological cost.</w:t>
      </w:r>
    </w:p>
    <w:p>
      <w:pPr>
        <w:pStyle w:val="Heading2"/>
      </w:pPr>
      <w:r>
        <w:t>References</w:t>
      </w:r>
    </w:p>
    <w:p>
      <w:pPr>
        <w:pStyle w:val="ListNumber"/>
        <w:spacing w:line="240" w:lineRule="auto" w:after="60"/>
        <w:ind w:left="360" w:hanging="360"/>
      </w:pPr>
      <w:r>
        <w:rPr>
          <w:rFonts w:ascii="Times New Roman" w:hAnsi="Times New Roman"/>
          <w:sz w:val="22"/>
        </w:rPr>
        <w:t>Chang, J. P.-C., et al. (2021). Cortisol and inflammatory biomarker levels in youths with ADHD. Translational Psychiatry, 11. https://doi.org/10.1038/s41398-021-01388-3</w:t>
      </w:r>
    </w:p>
    <w:p>
      <w:pPr>
        <w:pStyle w:val="ListNumber"/>
        <w:spacing w:line="240" w:lineRule="auto" w:after="60"/>
        <w:ind w:left="360" w:hanging="360"/>
      </w:pPr>
      <w:r>
        <w:rPr>
          <w:rFonts w:ascii="Times New Roman" w:hAnsi="Times New Roman"/>
          <w:sz w:val="22"/>
        </w:rPr>
        <w:t>Lane, S. J., Reynolds, S., &amp; Thacker, L. (2010). Sensory over-responsivity and ADHD. Frontiers in Integrative Neuroscience, 4. https://doi.org/10.3389/fnint.2010.00008</w:t>
      </w:r>
    </w:p>
    <w:p>
      <w:pPr>
        <w:pStyle w:val="ListNumber"/>
        <w:spacing w:line="240" w:lineRule="auto" w:after="60"/>
        <w:ind w:left="360" w:hanging="360"/>
      </w:pPr>
      <w:r>
        <w:rPr>
          <w:rFonts w:ascii="Times New Roman" w:hAnsi="Times New Roman"/>
          <w:sz w:val="22"/>
        </w:rPr>
        <w:t>Di Girolamo, G., et al. (2022). Prevalence of metabolic syndrome and insulin resistance in adult ADHD outpatients. Frontiers in Psychiatry, 13. https://doi.org/10.3389/fpsyt.2022.1078932</w:t>
      </w:r>
    </w:p>
    <w:p>
      <w:pPr>
        <w:pStyle w:val="ListNumber"/>
        <w:spacing w:line="240" w:lineRule="auto" w:after="60"/>
        <w:ind w:left="360" w:hanging="360"/>
      </w:pPr>
      <w:r>
        <w:rPr>
          <w:rFonts w:ascii="Times New Roman" w:hAnsi="Times New Roman"/>
          <w:sz w:val="22"/>
        </w:rPr>
        <w:t>Marcelli, D., et al. (2025). Bridging ADHD and metabolic disorders. Metabolites, 6. https://doi.org/10.3390/metabo6010006</w:t>
      </w:r>
    </w:p>
    <w:p>
      <w:pPr>
        <w:pStyle w:val="ListNumber"/>
        <w:spacing w:line="240" w:lineRule="auto" w:after="60"/>
        <w:ind w:left="360" w:hanging="360"/>
      </w:pPr>
      <w:r>
        <w:rPr>
          <w:rFonts w:ascii="Times New Roman" w:hAnsi="Times New Roman"/>
          <w:sz w:val="22"/>
        </w:rPr>
        <w:t>Zametkin, A. J., et al. (1990). Cerebral glucose metabolism in adults with hyperactivity of childhood onset. New England Journal of Medicine, 323(20), 1361–1366. https://doi.org/10.1056/NEJM199011153232001</w:t>
      </w:r>
    </w:p>
    <w:p>
      <w:pPr>
        <w:pStyle w:val="ListNumber"/>
        <w:spacing w:line="240" w:lineRule="auto" w:after="60"/>
        <w:ind w:left="360" w:hanging="360"/>
      </w:pPr>
      <w:r>
        <w:rPr>
          <w:rFonts w:ascii="Times New Roman" w:hAnsi="Times New Roman"/>
          <w:sz w:val="22"/>
        </w:rPr>
        <w:t>McEwen, B. S. (1998). Protective and damaging effects of stress mediators. New England Journal of Medicine, 338(3), 171–179. https://doi.org/10.1056/NEJM199801083380307</w:t>
      </w:r>
    </w:p>
    <w:p>
      <w:pPr>
        <w:pStyle w:val="ListNumber"/>
        <w:spacing w:line="240" w:lineRule="auto" w:after="60"/>
        <w:ind w:left="360" w:hanging="360"/>
      </w:pPr>
      <w:r>
        <w:rPr>
          <w:rFonts w:ascii="Times New Roman" w:hAnsi="Times New Roman"/>
          <w:sz w:val="22"/>
        </w:rPr>
        <w:t>Thayer, J. F., Ahs,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ListNumber"/>
        <w:spacing w:line="240" w:lineRule="auto" w:after="60"/>
        <w:ind w:left="360" w:hanging="360"/>
      </w:pPr>
      <w:r>
        <w:rPr>
          <w:rFonts w:ascii="Times New Roman" w:hAnsi="Times New Roman"/>
          <w:sz w:val="22"/>
        </w:rPr>
        <w:t>McEwen, B. S. (2006). Protective and damaging effects of stress mediators in health and disease. Dialogues in Clinical Neuroscience, 8(4), 377–384. https://doi.org/10.31887/DCNS.2006.8.4/bmcewen</w:t>
      </w:r>
    </w:p>
    <w:p>
      <w:pPr>
        <w:pStyle w:val="ListNumber"/>
        <w:spacing w:line="240" w:lineRule="auto" w:after="60"/>
        <w:ind w:left="360" w:hanging="360"/>
      </w:pPr>
      <w:r>
        <w:rPr>
          <w:rFonts w:ascii="Times New Roman" w:hAnsi="Times New Roman"/>
          <w:sz w:val="22"/>
        </w:rPr>
        <w:t>Slavich, G. M., &amp; Irwin, M. R. (2014). From stress to inflammation and major depressive disorder: A social signal transduction theory of depression. Psychological Bulletin, 140(3), 774–815. https://doi.org/10.1037/a0035302</w:t>
      </w:r>
    </w:p>
    <w:p>
      <w:pPr>
        <w:pStyle w:val="ListNumber"/>
        <w:spacing w:line="240" w:lineRule="auto" w:after="60"/>
        <w:ind w:left="360" w:hanging="360"/>
      </w:pPr>
      <w:r>
        <w:rPr>
          <w:rFonts w:ascii="Times New Roman" w:hAnsi="Times New Roman"/>
          <w:sz w:val="22"/>
        </w:rPr>
        <w:t>Picard, M., Juster, R.-P., &amp; McEwen, B. S. (2014). Mitochondrial allostatic load puts the 'gluc' back in glucocorticoids. Nature Reviews Endocrinology, 10(5), 303–310. https://doi.org/10.1038/nrendo.2014.22</w:t>
      </w:r>
    </w:p>
    <w:p>
      <w:pPr>
        <w:pStyle w:val="ListNumber"/>
        <w:spacing w:line="240" w:lineRule="auto" w:after="60"/>
        <w:ind w:left="360" w:hanging="360"/>
      </w:pPr>
      <w:r>
        <w:rPr>
          <w:rFonts w:ascii="Times New Roman" w:hAnsi="Times New Roman"/>
          <w:sz w:val="22"/>
        </w:rPr>
        <w:t>Bravo, J. A., Forsythe, P., Chew, M. V., Escaravage, E. M., Savignac, H. M., Dinan, T. G., Bienenstock, J., &amp; Cryan, J. F. (2011). Ingestion of Lactobacillus strain regulates emotional behavior and central GABA receptor expression in a mouse via the vagus nerve. Proceedings of the National Academy of Sciences, 108(38), 16050–16055. https://doi.org/10.1073/pnas.1102999108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