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BRS4 — Mitochondrial Function &amp; Bioenergetics: Biological Regulatory Identity and ADHD-Relevant Evidence</w:t>
      </w:r>
    </w:p>
    <w:p>
      <w:pPr>
        <w:pStyle w:val="Heading2"/>
      </w:pPr>
      <w:r>
        <w:rPr>
          <w:sz w:val="26"/>
        </w:rPr>
        <w:t>Biological Regulatory System identity</w:t>
      </w:r>
    </w:p>
    <w:p>
      <w:pPr>
        <w:spacing w:line="480" w:lineRule="auto" w:after="120"/>
      </w:pPr>
      <w:r>
        <w:rPr>
          <w:rFonts w:ascii="Times New Roman" w:hAnsi="Times New Roman"/>
          <w:sz w:val="24"/>
        </w:rPr>
        <w:t>BRS4 (Mitochondrial Function &amp; Bioenergetics) describes the integrated cellular capacity for ATP production, mitochondrial protection, substrate flexibility, and adaptive energetic remodelling. Its Functional Mechanisms — BRS4(FM1) Cellular Bioenergetics, BRS4(FM2) Mitochondrial Resilience &amp; Redox Stability, BRS4(FM3) Substrate Utilisation Flexibility, and BRS4(FM4) Mitochondrial Capacity Expansion &amp; Adaptation — represent a coordinated bioenergetic regulatory system. Impaired mitochondrial performance may constrain cognitive energetics, recovery, and downstream neurochemical signalling.</w:t>
      </w:r>
    </w:p>
    <w:p>
      <w:pPr>
        <w:pStyle w:val="Heading2"/>
      </w:pPr>
      <w:r>
        <w:rPr>
          <w:sz w:val="26"/>
        </w:rPr>
        <w:t>Landmark ADHD evidence</w:t>
      </w:r>
    </w:p>
    <w:p>
      <w:pPr>
        <w:spacing w:line="480" w:lineRule="auto" w:after="120"/>
        <w:ind w:left="360"/>
      </w:pPr>
      <w:r>
        <w:rPr>
          <w:rFonts w:ascii="Times New Roman" w:hAnsi="Times New Roman"/>
          <w:b/>
          <w:sz w:val="24"/>
        </w:rPr>
        <w:t xml:space="preserve">1. Verma et al. (2016) — </w:t>
      </w:r>
      <w:r>
        <w:rPr>
          <w:rFonts w:ascii="Times New Roman" w:hAnsi="Times New Roman"/>
          <w:sz w:val="24"/>
        </w:rPr>
        <w:t xml:space="preserve">What they found: Cybrid cell models from ADHD patient platelets showed reduced cellular and mitochondrial respiration, lower complex V activity, membrane-potential loss, and elevated oxidative stress. </w:t>
      </w:r>
      <w:r>
        <w:rPr>
          <w:rFonts w:ascii="Times New Roman" w:hAnsi="Times New Roman"/>
          <w:i/>
          <w:sz w:val="24"/>
        </w:rPr>
        <w:t>Why this matters for the BRS: Provides direct ADHD-derived cellular evidence that mitochondrial bioenergetics is impaired — establishing BRS4 as a biologically plausible regulatory domain rather than a speculative nutritional concept.</w:t>
      </w:r>
    </w:p>
    <w:p>
      <w:pPr>
        <w:spacing w:line="480" w:lineRule="auto" w:after="120"/>
        <w:ind w:left="360"/>
      </w:pPr>
      <w:r>
        <w:rPr>
          <w:rFonts w:ascii="Times New Roman" w:hAnsi="Times New Roman"/>
          <w:b/>
          <w:sz w:val="24"/>
        </w:rPr>
        <w:t xml:space="preserve">2. van Oudheusden &amp; Scholte (2002) — </w:t>
      </w:r>
      <w:r>
        <w:rPr>
          <w:rFonts w:ascii="Times New Roman" w:hAnsi="Times New Roman"/>
          <w:sz w:val="24"/>
        </w:rPr>
        <w:t xml:space="preserve">What they found: Controlled carnitine supplementation trial in children with ADHD reported improvements in behavioural and functional outcomes. </w:t>
      </w:r>
      <w:r>
        <w:rPr>
          <w:rFonts w:ascii="Times New Roman" w:hAnsi="Times New Roman"/>
          <w:i/>
          <w:sz w:val="24"/>
        </w:rPr>
        <w:t>Why this matters for the BRS: Demonstrates that a bioenergetic substrate intervention can modify ADHD functional outcomes — supporting BRS4 as a modifiable regulatory system, with BRS4(FM3) substrate flexibility as the most direct FM anchor.</w:t>
      </w:r>
    </w:p>
    <w:p>
      <w:pPr>
        <w:spacing w:line="480" w:lineRule="auto" w:after="120"/>
        <w:ind w:left="360"/>
      </w:pPr>
      <w:r>
        <w:rPr>
          <w:rFonts w:ascii="Times New Roman" w:hAnsi="Times New Roman"/>
          <w:b/>
          <w:sz w:val="24"/>
        </w:rPr>
        <w:t xml:space="preserve">3. Öğütlü et al. (2022) — </w:t>
      </w:r>
      <w:r>
        <w:rPr>
          <w:rFonts w:ascii="Times New Roman" w:hAnsi="Times New Roman"/>
          <w:sz w:val="24"/>
        </w:rPr>
        <w:t xml:space="preserve">What they found: Narrative review synthesises ADHD-relevant mitochondrial biomarker, oxidative-stress, and genetic-variation literature into a coherent mitochondrial dysfunction framing for ADHD. </w:t>
      </w:r>
      <w:r>
        <w:rPr>
          <w:rFonts w:ascii="Times New Roman" w:hAnsi="Times New Roman"/>
          <w:i/>
          <w:sz w:val="24"/>
        </w:rPr>
        <w:t>Why this matters for the BRS: Landmark synthesis anchoring the scientific identity of BRS4 across FM1–FM4 as an emerging but coherent regulatory domain in ADHD research.</w:t>
      </w:r>
    </w:p>
    <w:p>
      <w:pPr>
        <w:pStyle w:val="Heading2"/>
      </w:pPr>
      <w:r>
        <w:rPr>
          <w:sz w:val="26"/>
        </w:rPr>
        <w:t>Translational interpretation</w:t>
      </w:r>
    </w:p>
    <w:p>
      <w:pPr>
        <w:spacing w:line="480" w:lineRule="auto" w:after="120"/>
      </w:pPr>
      <w:r>
        <w:rPr>
          <w:rFonts w:ascii="Times New Roman" w:hAnsi="Times New Roman"/>
          <w:sz w:val="24"/>
        </w:rPr>
        <w:t>Primary ADHD cybrid evidence, a controlled carnitine intervention, and narrative synthesis together support mitochondrial bioenergetics as an important and potentially modifiable regulatory system in ADHD — not a universal mitochondrial disease model, but a biological layer where energetic capacity may constrain attention, recovery, and behavioural performance.</w:t>
      </w:r>
    </w:p>
    <w:p>
      <w:pPr>
        <w:spacing w:line="480" w:lineRule="auto" w:after="120"/>
      </w:pPr>
      <w:r>
        <w:rPr>
          <w:rFonts w:ascii="Times New Roman" w:hAnsi="Times New Roman"/>
          <w:sz w:val="24"/>
        </w:rPr>
        <w:t>For adaptive capacity, BRS4 contributes bioenergetic reserve and recovery capacity under sustained demand. Mitochondrial ATP output supports BRS1 neurotransmitter synthesis, vesicle cycling, membrane-potential maintenance, and synaptic signalling. When bioenergetic reserve is low, other systems bear greater regulatory burden. Regulating BRS4 therefore has ADHD relevance for maintaining cognitive and behavioural performance when allostatic load increases — particularly where energetic recovery between demands is impaired.</w:t>
      </w:r>
    </w:p>
    <w:p>
      <w:pPr>
        <w:pStyle w:val="Heading2"/>
      </w:pPr>
      <w:r>
        <w:t>References</w:t>
      </w:r>
    </w:p>
    <w:p>
      <w:pPr>
        <w:pStyle w:val="ListNumber"/>
        <w:spacing w:line="240" w:lineRule="auto" w:after="60"/>
        <w:ind w:left="360" w:hanging="360"/>
      </w:pPr>
      <w:r>
        <w:rPr>
          <w:rFonts w:ascii="Times New Roman" w:hAnsi="Times New Roman"/>
          <w:sz w:val="22"/>
        </w:rPr>
        <w:t>Verma, P., Singh, A., Nthenge-Ngumbau, D. N., et al. (2016). Attention deficit-hyperactivity disorder suffers from mitochondrial dysfunction. BBA Clinical, 6, 153–158. https://doi.org/10.1016/j.bbacli.2016.10.003</w:t>
      </w:r>
    </w:p>
    <w:p>
      <w:pPr>
        <w:pStyle w:val="ListNumber"/>
        <w:spacing w:line="240" w:lineRule="auto" w:after="60"/>
        <w:ind w:left="360" w:hanging="360"/>
      </w:pPr>
      <w:r>
        <w:rPr>
          <w:rFonts w:ascii="Times New Roman" w:hAnsi="Times New Roman"/>
          <w:sz w:val="22"/>
        </w:rPr>
        <w:t>van Oudheusden, L. J., &amp; Scholte, H. R. (2002). Efficacy of carnitine in the treatment of children with ADHD. Prostaglandins, Leukotrienes and Essential Fatty Acids, 67(1), 33–38. https://doi.org/10.1054/plef.2002.0378</w:t>
      </w:r>
    </w:p>
    <w:p>
      <w:pPr>
        <w:pStyle w:val="ListNumber"/>
        <w:spacing w:line="240" w:lineRule="auto" w:after="60"/>
        <w:ind w:left="360" w:hanging="360"/>
      </w:pPr>
      <w:r>
        <w:rPr>
          <w:rFonts w:ascii="Times New Roman" w:hAnsi="Times New Roman"/>
          <w:sz w:val="22"/>
        </w:rPr>
        <w:t>Öğütlü, H., Kasak, M., &amp; Tabur, S. T. (2022). Mitochondrial dysfunction in ADHD. The Eurasian Journal of Medicine, 54(Suppl 1), S187–S195. https://doi.org/10.5152/eurasianjmed.2022.22187</w:t>
      </w:r>
    </w:p>
    <w:p>
      <w:pPr>
        <w:pStyle w:val="ListNumber"/>
        <w:spacing w:line="240" w:lineRule="auto" w:after="60"/>
        <w:ind w:left="360" w:hanging="360"/>
      </w:pPr>
      <w:r>
        <w:rPr>
          <w:rFonts w:ascii="Times New Roman" w:hAnsi="Times New Roman"/>
          <w:sz w:val="22"/>
        </w:rPr>
        <w:t>Almutairi, M. M., et al. (2024). Mitochondrial dysfunction and mitophagy in ADHD. Saudi Pharmaceutical Journal, 32(12). https://doi.org/10.1016/j.jsps.2024.102212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