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BRS4 — Mitochondrial Function &amp; Bioenergetics: Framework Structure and ADHD-Relevant Evidence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Within the BRAIN Framework, BRS4 (Mitochondrial Function &amp; Bioenergetics) describes the integrated cellular capacity that sustains ATP production, fuel flexibility, mitochondrial protection, and longer-term mitochondrial quality control. Four Functional Mechanisms integrate nine Primary Mechanisms: BRS4(FM1) Cellular Bioenergetics (PM1–PM3: electron transport chain function, NAD⁺ metabolism, creatine–phosphocreatine buffering); BRS4(FM2) Mitochondrial Resilience &amp; Redox Stability (PM4–PM5: ROS production and control, mitochondrial protection and redox integrity); BRS4(FM3) Substrate Utilisation &amp; Flexibility (PM6–PM8: carnitine-mediated fat transport, ketone utilisation, metabolic fuel switching); and BRS4(FM4) Mitochondrial Capacity Expansion &amp; Adaptation (PM9: mitochondrial biogenesis). Key Constraints include BRS4(KC1) Macronutrient Substrate Availability and BRS4(KC2) Mitochondrial Cofactor Sufficiency — shared pools constraining respiratory-chain function, substrate delivery, and redox buffering. BRS4 cross-links to BRS3 antioxidant and inflammatory context and to BRS5 gut-derived metabolite biology where butyrate and related SCFAs influence brain energy metabolism.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In ADHD, mitochondrial biology is interpreted as a modifiable regulatory system rather than a single universal deficit. Direct ADHD evidence includes a controlled carnitine supplementation trial reporting behavioural and functional improvements in children with ADHD (van Oudheusden &amp; Scholte, 2002); paediatric case–control work showing elevated glutathione and oxidative-stress markers with implications for mitochondrial lactate metabolism and ROS neutralisation (Verlaet et al., 2019); cybrid models from ADHD platelets demonstrating reduced cellular and mitochondrial respiration, lower complex V activity, membrane-potential loss, and elevated oxidative stress (Verma et al., 2016); and narrative reviews synthesising ADHD-relevant mitochondrial biomarker, oxidative-stress, and genetic-variation literature including mtDNA copy number and haplogroup associations (Öğütlü et al., 2022) and mitophagy-related bioenergetic regulation (Almutairi et al., 2024). Inferred mechanistic evidence extends from general mitochondrial and nutrition science: micronutrient cofactor sufficiency for respiratory-chain and brain-relevant pathways (Tardy et al., 2020); CoQ10 roles in electron transport and neuronal antioxidant protection (Crane, 2001); creatine-supported ATP recycling in neurons (Avgerinos et al., 2018); polyphenol-derived urolithin A and mitophagy pathways in non-ADHD intervention contexts (Singh et al., 2022; Andreux et al., 2019; Hou et al., 2024); and butyrate-related enhancement of mitochondrial function under oxidative stress, interpreted through gut–brain metabolic contexts (Rose et al., 2018). Human dietary intervention studies directly measuring mitochondrial functional mechanisms in ADHD remain limited; dedicated BRS4(SM-SNP) pages for mtDNA and polymorphism associations are pending framework expansion.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Collectively, these findings do not imply that mitochondrial dysfunction is universal in ADHD, nor that individual biomarkers define the disorder. Instead, they support the BRAIN Framework proposition that ADHD-relevant bioenergetic phenotypes emerge from interacting constraints on electron transport, substrate delivery, redox stability, phosphocreatine buffering, and mitochondrial quality control — providing multiple diet-actionable entry points beyond isolated mitochondrial supplement models.</w:t>
      </w:r>
    </w:p>
    <w:p>
      <w:pPr>
        <w:pStyle w:val="Heading2"/>
      </w:pPr>
      <w:r>
        <w:t>References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Almutairi, M. M., Althekair, A., Almutairi, F., Alatabani, M., &amp; Alsaikhan, A. (2024). Mitochondrial dysfunction and mitophagy in ADHD: Cellular and molecular mechanisms. Saudi Pharmaceutical Journal, 32(12). https://doi.org/10.1016/j.jsps.2024.102212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Andreux, P. A., Blanco-Bose, W., Ryu, D., et al. (2019). The mitophagy activator urolithin A is safe and induces a molecular signature of improved mitochondrial and cellular health in humans. Nature Metabolism, 1(6). https://doi.org/10.1038/s42255-019-0073-4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Avgerinos, K. I., Spyrou, N., Bougioukas, K. I., &amp; Kapogiannis, D. (2018). Effects of creatine supplementation on cognitive function of healthy individuals: A systematic review of randomized controlled trials. Clinical Nutrition, 37(6), 2184–2190. https://doi.org/10.1016/j.clnu.2017.12.002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Crane, F. L. (2001). Biochemical functions of coenzyme Q10. Journal of the American College of Nutrition, 20(6), 591–598. https://doi.org/10.1080/07315724.2001.10719063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Hou, Y., Chu, X., Park, J.-H., et al. (2024). Urolithin A improves Alzheimer's disease cognition and restores mitophagy and lysosomal functions. Alzheimer's &amp; Dementia, 20(6), 4212–4233. https://doi.org/10.1002/alz.13847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Öğütlü, H., Kasak, M., &amp; Tabur, S. T. (2022). Mitochondrial dysfunction in attention deficit hyperactivity disorder. The Eurasian Journal of Medicine, 54(Suppl 1), S187–S195. https://doi.org/10.5152/eurasianjmed.2022.22187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Rose, S., Bennuri, S. C., Davis, J. E., et al. (2018). Butyrate enhances mitochondrial function during oxidative stress in cell lines from boys with autism. Translational Psychiatry, 8(1). https://doi.org/10.1038/s41398-017-0089-z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Singh, A., D'Amico, D., Andreux, P. A., et al. (2022). Direct supplementation with urolithin A overcomes limitations of dietary exposure and gut microbiome variability in healthy adults. European Journal of Clinical Nutrition, 76(2), 297–308. https://doi.org/10.1038/s41430-021-00950-1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Tardy, A.-L., Pouteau, E., Marquez, D., Yilmaz, C., &amp; Scholey, A. (2020). Vitamins and minerals for energy, fatigue and cognition: A narrative review of the biochemical and clinical evidence. Nutrients, 12(1), 228. https://doi.org/10.3390/nu12010228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van Oudheusden, L. J., &amp; Scholte, H. R. (2002). Efficacy of carnitine in the treatment of children with attention-deficit hyperactivity disorder. Prostaglandins, Leukotrienes and Essential Fatty Acids, 67(1), 33–38. https://doi.org/10.1054/plef.2002.0378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Verlaet, A. A. J., Breynaert, A., Ceulemans, B., et al. (2019). Oxidative stress and immune aberrancies in attention-deficit/hyperactivity disorder (ADHD): A case–control comparison. European Child &amp; Adolescent Psychiatry, 28(5), 719–729. https://doi.org/10.1007/s00787-018-1239-4</w:t>
      </w:r>
    </w:p>
    <w:p>
      <w:pPr>
        <w:pStyle w:val="ListNumber"/>
        <w:spacing w:line="240" w:lineRule="auto" w:after="60"/>
        <w:ind w:left="360" w:hanging="360"/>
      </w:pPr>
      <w:r>
        <w:rPr>
          <w:rFonts w:ascii="Times New Roman" w:hAnsi="Times New Roman"/>
          <w:sz w:val="22"/>
        </w:rPr>
        <w:t>Verma, P., Singh, A., Nthenge-Ngumbau, D. N., et al. (2016). Attention deficit-hyperactivity disorder suffers from mitochondrial dysfunction. BBA Clinical, 6, 153–158. https://doi.org/10.1016/j.bbacli.2016.10.003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