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BRS5 — Gut-Brain Axis &amp; Enteric Nervous System: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BRS5 (Gut-Brain Axis &amp; Enteric Nervous System) describes the integrated peripheral capacity to maintain gut barrier selectivity, supportive microbial ecology, beneficial metabolite signalling, and proportionate gut-to-brain communication. Its Functional Mechanisms — BRS5(FM1) Gut Barrier Integrity &amp; Immune Interface, BRS5(FM2) Microbial Metabolite Signalling Capacity, and BRS5(FM3) Gut-Vagal Neuromodulation &amp; ENS Signalling — form a coordinated gut–brain regulatory system. Gut-derived immune, metabolic, and vagal signals may influence central motivation, attention, and stress responsiveness.</w:t>
      </w:r>
    </w:p>
    <w:p>
      <w:pPr>
        <w:pStyle w:val="Heading2"/>
      </w:pPr>
      <w:r>
        <w:rPr>
          <w:sz w:val="26"/>
        </w:rPr>
        <w:t>Landmark ADHD evidence</w:t>
      </w:r>
    </w:p>
    <w:p>
      <w:pPr>
        <w:spacing w:line="480" w:lineRule="auto" w:after="120"/>
        <w:ind w:left="360"/>
      </w:pPr>
      <w:r>
        <w:rPr>
          <w:rFonts w:ascii="Times New Roman" w:hAnsi="Times New Roman"/>
          <w:b/>
          <w:sz w:val="24"/>
        </w:rPr>
        <w:t xml:space="preserve">1. Steckler et al. (2024) — </w:t>
      </w:r>
      <w:r>
        <w:rPr>
          <w:rFonts w:ascii="Times New Roman" w:hAnsi="Times New Roman"/>
          <w:sz w:val="24"/>
        </w:rPr>
        <w:t xml:space="preserve">What they found: Children with ADHD showed lower faecal short-chain fatty acid levels and gut dysbiosis patterns versus controls. </w:t>
      </w:r>
      <w:r>
        <w:rPr>
          <w:rFonts w:ascii="Times New Roman" w:hAnsi="Times New Roman"/>
          <w:i/>
          <w:sz w:val="24"/>
        </w:rPr>
        <w:t>Why this matters for the BRS: Anchors measurable reduction in microbial metabolite signalling within BRS5(FM2) — establishing gut–metabolite biology as a biologically important regulatory domain in ADHD cohorts.</w:t>
      </w:r>
    </w:p>
    <w:p>
      <w:pPr>
        <w:spacing w:line="480" w:lineRule="auto" w:after="120"/>
        <w:ind w:left="360"/>
      </w:pPr>
      <w:r>
        <w:rPr>
          <w:rFonts w:ascii="Times New Roman" w:hAnsi="Times New Roman"/>
          <w:b/>
          <w:sz w:val="24"/>
        </w:rPr>
        <w:t xml:space="preserve">2. Aarts et al. (2017) — </w:t>
      </w:r>
      <w:r>
        <w:rPr>
          <w:rFonts w:ascii="Times New Roman" w:hAnsi="Times New Roman"/>
          <w:sz w:val="24"/>
        </w:rPr>
        <w:t xml:space="preserve">What they found: Gut microbiome composition in boys with ADHD correlated with neural reward anticipation on fMRI during a monetary incentive delay task. </w:t>
      </w:r>
      <w:r>
        <w:rPr>
          <w:rFonts w:ascii="Times New Roman" w:hAnsi="Times New Roman"/>
          <w:i/>
          <w:sz w:val="24"/>
        </w:rPr>
        <w:t>Why this matters for the BRS: Links gut ecology to central reward circuitry — supporting BRS5 as a gut–brain regulatory system with direct relevance to ADHD motivation and impulsivity biology across FM1 and FM3.</w:t>
      </w:r>
    </w:p>
    <w:p>
      <w:pPr>
        <w:spacing w:line="480" w:lineRule="auto" w:after="120"/>
        <w:ind w:left="360"/>
      </w:pPr>
      <w:r>
        <w:rPr>
          <w:rFonts w:ascii="Times New Roman" w:hAnsi="Times New Roman"/>
          <w:b/>
          <w:sz w:val="24"/>
        </w:rPr>
        <w:t xml:space="preserve">3. Prehn-Kristensen et al. (2018) — </w:t>
      </w:r>
      <w:r>
        <w:rPr>
          <w:rFonts w:ascii="Times New Roman" w:hAnsi="Times New Roman"/>
          <w:sz w:val="24"/>
        </w:rPr>
        <w:t xml:space="preserve">What they found: Reduced microbial alpha diversity reported in paediatric ADHD cohorts versus controls. </w:t>
      </w:r>
      <w:r>
        <w:rPr>
          <w:rFonts w:ascii="Times New Roman" w:hAnsi="Times New Roman"/>
          <w:i/>
          <w:sz w:val="24"/>
        </w:rPr>
        <w:t>Why this matters for the BRS: Establishes ecological disruption as a reproducible ADHD-associated gut feature — supporting BRS5(FM1) and BRS5(FM2) as integrated barrier-and-ecology domains rather than single-taxa stories.</w:t>
      </w:r>
    </w:p>
    <w:p>
      <w:pPr>
        <w:pStyle w:val="Heading2"/>
      </w:pPr>
      <w:r>
        <w:rPr>
          <w:sz w:val="26"/>
        </w:rPr>
        <w:t>Translational interpretation</w:t>
      </w:r>
    </w:p>
    <w:p>
      <w:pPr>
        <w:spacing w:line="480" w:lineRule="auto" w:after="120"/>
      </w:pPr>
      <w:r>
        <w:rPr>
          <w:rFonts w:ascii="Times New Roman" w:hAnsi="Times New Roman"/>
          <w:sz w:val="24"/>
        </w:rPr>
        <w:t>Converging ADHD evidence of reduced SCFA output, altered microbial diversity, and gut–reward circuitry coupling supports the gut–brain axis as an important and modifiable regulatory system in ADHD. Dietary fermentable fibre, fermented foods, and diverse plant intake may influence barrier integrity, microbial metabolite output, and vagal signalling as coordinated inputs to gut–brain regulation.</w:t>
      </w:r>
    </w:p>
    <w:p>
      <w:pPr>
        <w:spacing w:line="480" w:lineRule="auto" w:after="120"/>
      </w:pPr>
      <w:r>
        <w:rPr>
          <w:rFonts w:ascii="Times New Roman" w:hAnsi="Times New Roman"/>
          <w:sz w:val="24"/>
        </w:rPr>
        <w:t>For adaptive capacity, BRS5 contributes gut-derived immune, metabolic, and vagal signalling that shapes how the body responds to environmental and physiological demand. Gut-derived inflammatory load intersects BRS3; SCFA biology bridges to BRS4 bioenergetics; vagal pathways connect to BRS6 autonomic regulation. Regulating BRS5 therefore has ADHD relevance as a peripheral system that may influence central regulatory burden and resilience when stress, diet, or immune challenge accumulate.</w:t>
      </w:r>
    </w:p>
    <w:p>
      <w:pPr>
        <w:pStyle w:val="Heading2"/>
      </w:pPr>
      <w:r>
        <w:t>References</w:t>
      </w:r>
    </w:p>
    <w:p>
      <w:pPr>
        <w:pStyle w:val="ListNumber"/>
        <w:spacing w:line="240" w:lineRule="auto" w:after="60"/>
        <w:ind w:left="360" w:hanging="360"/>
      </w:pPr>
      <w:r>
        <w:rPr>
          <w:rFonts w:ascii="Times New Roman" w:hAnsi="Times New Roman"/>
          <w:sz w:val="22"/>
        </w:rPr>
        <w:t>Steckler, R., Magzal, F., Kokot, M., et al. (2024). Disrupted gut harmony in ADHD. Brain, Behavior, &amp; Immunity—Health, 40, 100829. https://doi.org/10.1016/j.bbih.2024.100829</w:t>
      </w:r>
    </w:p>
    <w:p>
      <w:pPr>
        <w:pStyle w:val="ListNumber"/>
        <w:spacing w:line="240" w:lineRule="auto" w:after="60"/>
        <w:ind w:left="360" w:hanging="360"/>
      </w:pPr>
      <w:r>
        <w:rPr>
          <w:rFonts w:ascii="Times New Roman" w:hAnsi="Times New Roman"/>
          <w:sz w:val="22"/>
        </w:rPr>
        <w:t>Aarts, E., Ederveen, T. H. A., Naaijen, J., et al. (2017). Gut microbiome in ADHD and its relation to neural reward anticipation. PLOS ONE, 12(9). https://doi.org/10.1371/journal.pone.0183509</w:t>
      </w:r>
    </w:p>
    <w:p>
      <w:pPr>
        <w:pStyle w:val="ListNumber"/>
        <w:spacing w:line="240" w:lineRule="auto" w:after="60"/>
        <w:ind w:left="360" w:hanging="360"/>
      </w:pPr>
      <w:r>
        <w:rPr>
          <w:rFonts w:ascii="Times New Roman" w:hAnsi="Times New Roman"/>
          <w:sz w:val="22"/>
        </w:rPr>
        <w:t>Prehn-Kristensen, A., et al. (2018). Reduced microbiome alpha diversity in young patients with ADHD. PLOS ONE, 13(7). https://doi.org/10.1371/journal.pone.0200728</w:t>
      </w:r>
    </w:p>
    <w:p>
      <w:pPr>
        <w:pStyle w:val="ListNumber"/>
        <w:spacing w:line="240" w:lineRule="auto" w:after="60"/>
        <w:ind w:left="360" w:hanging="360"/>
      </w:pPr>
      <w:r>
        <w:rPr>
          <w:rFonts w:ascii="Times New Roman" w:hAnsi="Times New Roman"/>
          <w:sz w:val="22"/>
        </w:rPr>
        <w:t>Jiang, H.-Y., et al. (2018). Gut microbiota profiles in treatment-naïve children with ADHD. Behavioural Brain Research, 347, 408–413. https://doi.org/10.1016/j.bbr.2018.03.036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