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BRAIN Framework Phenome Scoring</w:t>
      </w:r>
    </w:p>
    <w:p>
      <w:pPr>
        <w:jc w:val="center"/>
      </w:pPr>
      <w:r>
        <w:rPr>
          <w:i/>
        </w:rPr>
        <w:t>A guide for Miguel: Biology → Phenome Confidence vs Evidence Confidence</w:t>
      </w:r>
    </w:p>
    <w:p>
      <w:r>
        <w:t>BRAIN Diet / Food Science project · June 2025</w:t>
      </w:r>
    </w:p>
    <w:p/>
    <w:p>
      <w:pPr>
        <w:pStyle w:val="Heading1"/>
      </w:pPr>
      <w:r>
        <w:t>1. Why we split confidence into two scores</w:t>
      </w:r>
    </w:p>
    <w:p>
      <w:r>
        <w:t>The Phenome Registry links biological mechanisms (Primary Mechanisms and Functional Mechanisms) to functional outcomes called phenomes — for example Focus / Attention Stability or Emotional Regulation.</w:t>
      </w:r>
    </w:p>
    <w:p>
      <w:r>
        <w:t>For a long time we used a single “Confidence” field. That created a category error: a mechanism could be biologically central to a phenome (noradrenaline and attention in ADHD is one of the strongest findings in the field) while the specific studies listed on a mechanism page might be mechanistic reviews only, with no dietary randomised controlled trial proving that food improves attention.</w:t>
      </w:r>
    </w:p>
    <w:p>
      <w:r>
        <w:t>Readers — and reviewers — often interpreted low confidence as “this biology doesn’t matter,” when it really meant “the attached references don’t yet demonstrate a treatment effect.” That undervalued core neuroscience pathways simply because intervention evidence was incomplete.</w:t>
      </w:r>
    </w:p>
    <w:p>
      <w:r>
        <w:t>We therefore separated two questions that must not be conflated: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Field on the page</w:t>
            </w:r>
          </w:p>
        </w:tc>
      </w:tr>
      <w:tr>
        <w:tc>
          <w:tcPr>
            <w:tcW w:type="dxa" w:w="4320"/>
          </w:tcPr>
          <w:p>
            <w:r>
              <w:t>How centrally does this mechanism contribute to this phenome within the BRAIN Framework?</w:t>
            </w:r>
          </w:p>
        </w:tc>
        <w:tc>
          <w:tcPr>
            <w:tcW w:type="dxa" w:w="4320"/>
          </w:tcPr>
          <w:p>
            <w:r>
              <w:t>Biology → Phenome Confidence</w:t>
            </w:r>
          </w:p>
        </w:tc>
      </w:tr>
      <w:tr>
        <w:tc>
          <w:tcPr>
            <w:tcW w:type="dxa" w:w="4320"/>
          </w:tcPr>
          <w:p>
            <w:r>
              <w:t>How strong is the evidence in the Key References attached to this row?</w:t>
            </w:r>
          </w:p>
        </w:tc>
        <w:tc>
          <w:tcPr>
            <w:tcW w:type="dxa" w:w="4320"/>
          </w:tcPr>
          <w:p>
            <w:r>
              <w:t>Evidence Confidence</w:t>
            </w:r>
          </w:p>
        </w:tc>
      </w:tr>
    </w:tbl>
    <w:p/>
    <w:p>
      <w:r>
        <w:t>BRAIN is a Functional Biological Capacity Framework, not primarily an intervention-effect registry. Diet, lifestyle, sleep, and cross-BRS interactions are strategies that help satisfy biological conditions for successful functional capacity — but biological relevance and evidence strength are scored separately.</w:t>
      </w:r>
    </w:p>
    <w:p>
      <w:pPr>
        <w:pStyle w:val="Heading1"/>
      </w:pPr>
      <w:r>
        <w:t>2. All fields on a phenome row (PM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(as shown in §3)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Target phenome</w:t>
            </w:r>
          </w:p>
        </w:tc>
        <w:tc>
          <w:tcPr>
            <w:tcW w:type="dxa" w:w="4320"/>
          </w:tcPr>
          <w:p>
            <w:r>
              <w:t>Which registry outcome this mapping refers to (e.g. Focus / Attention Stability).</w:t>
            </w:r>
          </w:p>
        </w:tc>
      </w:tr>
      <w:tr>
        <w:tc>
          <w:tcPr>
            <w:tcW w:type="dxa" w:w="4320"/>
          </w:tcPr>
          <w:p>
            <w:r>
              <w:t>Relationship type</w:t>
            </w:r>
          </w:p>
        </w:tc>
        <w:tc>
          <w:tcPr>
            <w:tcW w:type="dxa" w:w="4320"/>
          </w:tcPr>
          <w:p>
            <w:r>
              <w:t>supports, modulates, disrupts, or indirect — how the mechanism relates to the phenome.</w:t>
            </w:r>
          </w:p>
        </w:tc>
      </w:tr>
      <w:tr>
        <w:tc>
          <w:tcPr>
            <w:tcW w:type="dxa" w:w="4320"/>
          </w:tcPr>
          <w:p>
            <w:r>
              <w:t>Biology → Phenome Confidence</w:t>
            </w:r>
          </w:p>
        </w:tc>
        <w:tc>
          <w:tcPr>
            <w:tcW w:type="dxa" w:w="4320"/>
          </w:tcPr>
          <w:p>
            <w:r>
              <w:t>Framework relevance: how important this mechanism is to the phenome in ADHD/neuroscience terms. Scored high when the pathway is a core biological determinant (e.g. noradrenergic signalling → attention). Not capped by whether diet has been proven to work.</w:t>
            </w:r>
          </w:p>
        </w:tc>
      </w:tr>
      <w:tr>
        <w:tc>
          <w:tcPr>
            <w:tcW w:type="dxa" w:w="4320"/>
          </w:tcPr>
          <w:p>
            <w:r>
              <w:t>Evidence Level</w:t>
            </w:r>
          </w:p>
        </w:tc>
        <w:tc>
          <w:tcPr>
            <w:tcW w:type="dxa" w:w="4320"/>
          </w:tcPr>
          <w:p>
            <w:r>
              <w:t>The type of literature supporting the link: mechanistic, observational (human mechanistic), intervention, or clinical (human outcome trials). Describes what kinds of studies exist, not how central the biology is.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One or two sentences explaining the translational link in plain language.</w:t>
            </w:r>
          </w:p>
        </w:tc>
      </w:tr>
      <w:tr>
        <w:tc>
          <w:tcPr>
            <w:tcW w:type="dxa" w:w="4320"/>
          </w:tcPr>
          <w:p>
            <w:r>
              <w:t>Key References</w:t>
            </w:r>
          </w:p>
        </w:tc>
        <w:tc>
          <w:tcPr>
            <w:tcW w:type="dxa" w:w="4320"/>
          </w:tcPr>
          <w:p>
            <w:r>
              <w:t>The specific studies cited for this row, each tagged with a data level (e.g. Mechanistic, Human Mechanistic, Human Outcome).</w:t>
            </w:r>
          </w:p>
        </w:tc>
      </w:tr>
      <w:tr>
        <w:tc>
          <w:tcPr>
            <w:tcW w:type="dxa" w:w="4320"/>
          </w:tcPr>
          <w:p>
            <w:r>
              <w:t>Evidence Confidence</w:t>
            </w:r>
          </w:p>
        </w:tc>
        <w:tc>
          <w:tcPr>
            <w:tcW w:type="dxa" w:w="4320"/>
          </w:tcPr>
          <w:p>
            <w:r>
              <w:t>Placed below Key References. Scores the strength of evidence in those attached references only, using the original v3 hierarchy (mechanistic-only refs → low or low–medium; human outcome trials → medium or higher). Normally equal to or lower than Biology → Phenome Confidence.</w:t>
            </w:r>
          </w:p>
        </w:tc>
      </w:tr>
    </w:tbl>
    <w:p/>
    <w:p>
      <w:r>
        <w:t>On FM (Functional Mechanism) pages the same logic applies, except the row uses Synthesis instead of Rationale, and Evidence Level is not shown separately on FM rows.</w:t>
      </w:r>
    </w:p>
    <w:p>
      <w:pPr>
        <w:pStyle w:val="Heading1"/>
      </w:pPr>
      <w:r>
        <w:t>3. Worked example: Noradrenergic signalling → Focus</w:t>
      </w:r>
    </w:p>
    <w:p>
      <w:r>
        <w:t>Page: BRS1-FM1-PM3 — Noradrenergic Signalling (Attention &amp; Executive Modulation)</w:t>
      </w:r>
    </w:p>
    <w:p>
      <w:r>
        <w:t>Phenome: Focus / Attention Stability</w:t>
      </w:r>
    </w:p>
    <w:p>
      <w:pPr>
        <w:pStyle w:val="Heading2"/>
      </w:pPr>
      <w:r>
        <w:t>What a reader sees in the dropdown</w:t>
      </w:r>
    </w:p>
    <w:p>
      <w:pPr>
        <w:ind w:left="360"/>
      </w:pPr>
      <w:r>
        <w:t>Biology → Phenome Confidence: High</w:t>
      </w:r>
    </w:p>
    <w:p>
      <w:pPr>
        <w:ind w:left="360"/>
      </w:pPr>
      <w:r>
        <w:t>Evidence Level: observational</w:t>
      </w:r>
    </w:p>
    <w:p>
      <w:pPr>
        <w:ind w:left="360"/>
      </w:pPr>
      <w:r>
        <w:t>Rationale: Noradrenergic signalling is a core biological determinant of attentional regulation, arousal, and executive control in ADHD — supported by locus coeruleus biology, neuropharmacology, and clinical stimulant pharmacology…</w:t>
      </w:r>
    </w:p>
    <w:p>
      <w:pPr>
        <w:ind w:left="360"/>
      </w:pPr>
      <w:r>
        <w:t>Key References:</w:t>
      </w:r>
    </w:p>
    <w:p>
      <w:pPr>
        <w:ind w:left="360"/>
      </w:pPr>
      <w:r>
        <w:t xml:space="preserve">  · O'Donnell et al. (2012) — Mechanistic</w:t>
      </w:r>
    </w:p>
    <w:p>
      <w:pPr>
        <w:ind w:left="360"/>
      </w:pPr>
      <w:r>
        <w:t xml:space="preserve">  · MacDonald et al. (2024) — Mechanistic</w:t>
      </w:r>
    </w:p>
    <w:p>
      <w:pPr>
        <w:ind w:left="360"/>
      </w:pPr>
      <w:r>
        <w:t xml:space="preserve">  · Fernstrom (2013) — Mechanistic</w:t>
      </w:r>
    </w:p>
    <w:p>
      <w:pPr>
        <w:ind w:left="360"/>
      </w:pPr>
      <w:r>
        <w:t>Evidence Confidence: Low–Medium</w:t>
      </w:r>
    </w:p>
    <w:p>
      <w:pPr>
        <w:pStyle w:val="Heading2"/>
      </w:pPr>
      <w:r>
        <w:t>How to read this juxtaposition</w:t>
      </w:r>
    </w:p>
    <w:p>
      <w:r>
        <w:t>Biology → Phenome Confidence = High because noradrenaline is a cornerstone of attention regulation in ADHD. Stimulant medication works largely through catecholaminergic pathways; the neuroscience literature treats this as established biology — independent of whether a specific BRAIN Diet page has attached human dietary RCTs.</w:t>
      </w:r>
    </w:p>
    <w:p>
      <w:r>
        <w:t>Evidence Confidence = Low–Medium because the three Key References on this row are mechanistic pathway reviews, not human trials measuring attention after a dietary intervention. The evidence score honestly reflects what those particular citations support.</w:t>
      </w:r>
    </w:p>
    <w:p>
      <w:r>
        <w:t>This is not a contradiction. It is the intended design: the mechanism matters a great deal biologically; the cited evidence on this page is still primarily mechanistic. A reader can trust both statements at once.</w:t>
      </w:r>
    </w:p>
    <w:p>
      <w:pPr>
        <w:pStyle w:val="Heading1"/>
      </w:pPr>
      <w:r>
        <w:t>4. Second example: FM1 Monoaminergic Function → Focus</w:t>
      </w:r>
    </w:p>
    <w:p>
      <w:r>
        <w:t>Page: BRS1(FM1) — Monoaminergic Function (integrated FM across PM1–PM4)</w:t>
      </w:r>
    </w:p>
    <w:p>
      <w:r>
        <w:t>Outcome: Focus / Attention Stability</w:t>
      </w:r>
    </w:p>
    <w:p>
      <w:pPr>
        <w:pStyle w:val="Heading2"/>
      </w:pPr>
      <w:r>
        <w:t>What a reader sees</w:t>
      </w:r>
    </w:p>
    <w:p>
      <w:pPr>
        <w:ind w:left="360"/>
      </w:pPr>
      <w:r>
        <w:t>Biology → Phenome Confidence: High</w:t>
      </w:r>
    </w:p>
    <w:p>
      <w:pPr>
        <w:ind w:left="360"/>
      </w:pPr>
      <w:r>
        <w:t>Synthesis: Integrated monoaminergic function — substrate availability, LAT1 transport, and noradrenergic attention signalling — is biologically central to attention stability in ADHD…</w:t>
      </w:r>
    </w:p>
    <w:p>
      <w:pPr>
        <w:ind w:left="360"/>
      </w:pPr>
      <w:r>
        <w:t>Key References:</w:t>
      </w:r>
    </w:p>
    <w:p>
      <w:pPr>
        <w:ind w:left="360"/>
      </w:pPr>
      <w:r>
        <w:t xml:space="preserve">  · MacDonald et al. (2024) — Mechanistic</w:t>
      </w:r>
    </w:p>
    <w:p>
      <w:pPr>
        <w:ind w:left="360"/>
      </w:pPr>
      <w:r>
        <w:t xml:space="preserve">  · Santos et al. (2019) — Mechanistic</w:t>
      </w:r>
    </w:p>
    <w:p>
      <w:pPr>
        <w:ind w:left="360"/>
      </w:pPr>
      <w:r>
        <w:t xml:space="preserve">  · Fernstrom (2013) — Mechanistic</w:t>
      </w:r>
    </w:p>
    <w:p>
      <w:pPr>
        <w:ind w:left="360"/>
      </w:pPr>
      <w:r>
        <w:t>Evidence Confidence: Low–Medium</w:t>
      </w:r>
    </w:p>
    <w:p>
      <w:r>
        <w:t>Same pattern: High biological centrality for the integrated monoaminergic state, but the attached references are mechanistic — so Evidence Confidence stays conservative. Motivation / Drive on the same FM page can show Evidence Confidence: Medium when a row includes a Human Outcome study (e.g. Reimherr &amp; Ward, 1987), even if Biology → Phenome Confidence is only Medium because dopamine reward circuitry is the primary driver of motivation.</w:t>
      </w:r>
    </w:p>
    <w:p>
      <w:pPr>
        <w:pStyle w:val="Heading1"/>
      </w:pPr>
      <w:r>
        <w:t>5.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Biology → Phenome Confidence</w:t>
            </w:r>
          </w:p>
        </w:tc>
        <w:tc>
          <w:tcPr>
            <w:tcW w:type="dxa" w:w="2880"/>
          </w:tcPr>
          <w:p>
            <w:r>
              <w:t>Evidence Confidence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Does this mechanism matter for this phenome within BRAIN?</w:t>
            </w:r>
          </w:p>
        </w:tc>
        <w:tc>
          <w:tcPr>
            <w:tcW w:type="dxa" w:w="2880"/>
          </w:tcPr>
          <w:p>
            <w:r>
              <w:t>How strong are the attached Key References?</w:t>
            </w:r>
          </w:p>
        </w:tc>
      </w:tr>
      <w:tr>
        <w:tc>
          <w:tcPr>
            <w:tcW w:type="dxa" w:w="2880"/>
          </w:tcPr>
          <w:p>
            <w:r>
              <w:t>Driven by</w:t>
            </w:r>
          </w:p>
        </w:tc>
        <w:tc>
          <w:tcPr>
            <w:tcW w:type="dxa" w:w="2880"/>
          </w:tcPr>
          <w:p>
            <w:r>
              <w:t>Neuroscience, physiology, pharmacology, ADHD literature</w:t>
            </w:r>
          </w:p>
        </w:tc>
        <w:tc>
          <w:tcPr>
            <w:tcW w:type="dxa" w:w="2880"/>
          </w:tcPr>
          <w:p>
            <w:r>
              <w:t>data_level tags on the cited studies</w:t>
            </w:r>
          </w:p>
        </w:tc>
      </w:tr>
      <w:tr>
        <w:tc>
          <w:tcPr>
            <w:tcW w:type="dxa" w:w="2880"/>
          </w:tcPr>
          <w:p>
            <w:r>
              <w:t>High score when</w:t>
            </w:r>
          </w:p>
        </w:tc>
        <w:tc>
          <w:tcPr>
            <w:tcW w:type="dxa" w:w="2880"/>
          </w:tcPr>
          <w:p>
            <w:r>
              <w:t>Core validated pathway (NA→attention, serotonin→emotion)</w:t>
            </w:r>
          </w:p>
        </w:tc>
        <w:tc>
          <w:tcPr>
            <w:tcW w:type="dxa" w:w="2880"/>
          </w:tcPr>
          <w:p>
            <w:r>
              <w:t>Human outcome or intervention evidence on the row</w:t>
            </w:r>
          </w:p>
        </w:tc>
      </w:tr>
      <w:tr>
        <w:tc>
          <w:tcPr>
            <w:tcW w:type="dxa" w:w="2880"/>
          </w:tcPr>
          <w:p>
            <w:r>
              <w:t>Low score when</w:t>
            </w:r>
          </w:p>
        </w:tc>
        <w:tc>
          <w:tcPr>
            <w:tcW w:type="dxa" w:w="2880"/>
          </w:tcPr>
          <w:p>
            <w:r>
              <w:t>Distal, speculative, or upstream-only link</w:t>
            </w:r>
          </w:p>
        </w:tc>
        <w:tc>
          <w:tcPr>
            <w:tcW w:type="dxa" w:w="2880"/>
          </w:tcPr>
          <w:p>
            <w:r>
              <w:t>Mechanistic/animal refs only, or no refs</w:t>
            </w:r>
          </w:p>
        </w:tc>
      </w:tr>
    </w:tbl>
    <w:p/>
    <w:p>
      <w:r>
        <w:t>Valid combination: High biology confidence + Low–Medium evidence confidence + limited dietary RCT evidence.</w:t>
      </w:r>
    </w:p>
    <w:p>
      <w:pPr>
        <w:pStyle w:val="Heading1"/>
      </w:pPr>
      <w:r>
        <w:t>6. How scores are assigned (review workflow)</w:t>
      </w:r>
    </w:p>
    <w:p>
      <w:r>
        <w:t>Phase 3 of the phenome review methodology assigns all final scores after a dedicated literature review. Biology → Phenome Confidence and Evidence Confidence are set independently. Evidence Confidence can be auto-calculated from reference data levels during sync, then adjusted by a human reviewer if needed.</w:t>
      </w:r>
    </w:p>
    <w:p>
      <w:r>
        <w:t>Evidence Confidence should normally be equal to or lower than Biology → Phenome Confidence. If biology is high but every attached reference is mechanistic, Evidence Confidence will typically be low or low–medium — and that is correct.</w:t>
      </w:r>
    </w:p>
    <w:p>
      <w:pPr>
        <w:pStyle w:val="Heading1"/>
      </w:pPr>
      <w:r>
        <w:t>7. What we want the public to understand</w:t>
      </w:r>
    </w:p>
    <w:p>
      <w:pPr>
        <w:pStyle w:val="ListBullet"/>
      </w:pPr>
      <w:r>
        <w:t>A mechanism can be biologically important without diet having been proven to improve that outcome.</w:t>
      </w:r>
    </w:p>
    <w:p>
      <w:pPr>
        <w:pStyle w:val="ListBullet"/>
      </w:pPr>
      <w:r>
        <w:t>Evidence Confidence tells you what the listed studies actually demonstrate.</w:t>
      </w:r>
    </w:p>
    <w:p>
      <w:pPr>
        <w:pStyle w:val="ListBullet"/>
      </w:pPr>
      <w:r>
        <w:t>Biology → Phenome Confidence tells you how the mechanism fits in the BRAIN biological architecture.</w:t>
      </w:r>
    </w:p>
    <w:p>
      <w:pPr>
        <w:pStyle w:val="ListBullet"/>
      </w:pPr>
      <w:r>
        <w:t>Neither score is a treatment claim. Both sit under a disclaimer that phenomes are emergent patterns supported by many interacting mechanisms.</w:t>
      </w:r>
    </w:p>
    <w:p/>
    <w:p>
      <w:r>
        <w:t>Further detail: system/phenome-relationship-schema.md and system/phenome-relationship-review-methodology.md (v4).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