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A1A2E" w:val="clear"/>
            <w:tcMar>
              <w:top w:type="dxa" w:w="520"/>
              <w:left w:type="dxa" w:w="600"/>
              <w:bottom w:type="dxa" w:w="520"/>
              <w:right w:type="dxa" w:w="600"/>
            </w:tcMar>
          </w:tcPr>
          <w:p>
            <w:pPr>
              <w:spacing w:before="0" w:after="80"/>
              <w:jc w:val="center"/>
            </w:pPr>
            <w:r>
              <w:rPr>
                <w:rFonts w:ascii="Arial" w:cs="Arial" w:eastAsia="Arial" w:hAnsi="Arial"/>
                <w:b/>
                <w:bCs/>
                <w:color w:val="C9A84C"/>
                <w:sz w:val="20"/>
                <w:szCs w:val="20"/>
              </w:rPr>
              <w:t xml:space="preserve">THE BEDROCK PROGRAM</w:t>
            </w:r>
          </w:p>
          <w:p>
            <w:pPr>
              <w:spacing w:before="0" w:after="120"/>
              <w:jc w:val="center"/>
            </w:pPr>
            <w:r>
              <w:rPr>
                <w:rFonts w:ascii="Arial" w:cs="Arial" w:eastAsia="Arial" w:hAnsi="Arial"/>
                <w:b/>
                <w:bCs/>
                <w:color w:val="FFFFFF"/>
                <w:sz w:val="52"/>
                <w:szCs w:val="52"/>
              </w:rPr>
              <w:t xml:space="preserve">The Maintenance Test</w:t>
            </w:r>
          </w:p>
          <w:p>
            <w:pPr>
              <w:spacing w:before="0" w:after="80"/>
              <w:jc w:val="center"/>
            </w:pPr>
            <w:r>
              <w:rPr>
                <w:rFonts w:ascii="Arial" w:cs="Arial" w:eastAsia="Arial" w:hAnsi="Arial"/>
                <w:i/>
                <w:iCs/>
                <w:color w:val="AAAAAA"/>
                <w:sz w:val="24"/>
                <w:szCs w:val="24"/>
              </w:rPr>
              <w:t xml:space="preserve">A Structural Field Guide for Discernment</w:t>
            </w:r>
          </w:p>
          <w:p>
            <w:pPr>
              <w:spacing w:before="0" w:after="60"/>
              <w:jc w:val="center"/>
            </w:pPr>
            <w:r>
              <w:rPr>
                <w:rFonts w:ascii="Arial" w:cs="Arial" w:eastAsia="Arial" w:hAnsi="Arial"/>
                <w:color w:val="666666"/>
                <w:sz w:val="17"/>
                <w:szCs w:val="17"/>
              </w:rPr>
              <w:t xml:space="preserve">Research Output v1.0  |  NohMad LLC  |  github.com/The-Bedrock-Project/bedrock-program</w:t>
            </w:r>
          </w:p>
          <w:p>
            <w:pPr>
              <w:pBdr>
                <w:bottom w:val="single" w:color="C9A84C" w:sz="6" w:space="1"/>
              </w:pBdr>
              <w:spacing w:before="80" w:after="80"/>
            </w:pPr>
            <w:r>
              <w:t xml:space="preserve"/>
            </w:r>
          </w:p>
          <w:p>
            <w:pPr>
              <w:spacing w:before="120" w:after="40"/>
              <w:jc w:val="center"/>
            </w:pPr>
            <w:r>
              <w:rPr>
                <w:rFonts w:ascii="Arial" w:cs="Arial" w:eastAsia="Arial" w:hAnsi="Arial"/>
                <w:i/>
                <w:iCs/>
                <w:color w:val="F5EDD6"/>
                <w:sz w:val="20"/>
                <w:szCs w:val="20"/>
              </w:rPr>
              <w:t xml:space="preserve">“Everyone then who hears these words of mine and does them will be like a wise man who built his house on the rock.”</w:t>
            </w:r>
          </w:p>
          <w:p>
            <w:pPr>
              <w:spacing w:before="0" w:after="80"/>
              <w:jc w:val="center"/>
            </w:pPr>
            <w:r>
              <w:rPr>
                <w:rFonts w:ascii="Arial" w:cs="Arial" w:eastAsia="Arial" w:hAnsi="Arial"/>
                <w:color w:val="888888"/>
                <w:sz w:val="18"/>
                <w:szCs w:val="18"/>
              </w:rPr>
              <w:t xml:space="preserve">— Matthew 7:24</w:t>
            </w:r>
          </w:p>
        </w:tc>
      </w:tr>
    </w:tbl>
    <w:p>
      <w:pPr>
        <w:spacing w:before="240" w:after="240"/>
      </w:pPr>
      <w:r>
        <w:t xml:space="preserve"/>
      </w:r>
    </w:p>
    <w:p>
      <w:pPr>
        <w:spacing w:before="80" w:after="80"/>
        <w:jc w:val="left"/>
      </w:pPr>
      <w:r>
        <w:rPr>
          <w:rFonts w:ascii="Arial" w:cs="Arial" w:eastAsia="Arial" w:hAnsi="Arial"/>
          <w:b w:val="false"/>
          <w:bCs w:val="false"/>
          <w:i w:val="false"/>
          <w:iCs w:val="false"/>
          <w:color w:val="1A1A1A"/>
          <w:sz w:val="22"/>
          <w:szCs w:val="22"/>
        </w:rPr>
        <w:t xml:space="preserve">This document is a diagnostic instrument. It is not opinion. It is not persuasion. It is a structural test that anyone can apply to any claim, in real time, using no equipment other than a functioning mind.</w:t>
      </w:r>
    </w:p>
    <w:p>
      <w:pPr>
        <w:spacing w:before="80" w:after="80"/>
      </w:pPr>
      <w:r>
        <w:t xml:space="preserve"/>
      </w:r>
    </w:p>
    <w:p>
      <w:pPr>
        <w:spacing w:before="80" w:after="80"/>
        <w:jc w:val="left"/>
      </w:pPr>
      <w:r>
        <w:rPr>
          <w:rFonts w:ascii="Arial" w:cs="Arial" w:eastAsia="Arial" w:hAnsi="Arial"/>
          <w:b/>
          <w:bCs/>
          <w:i w:val="false"/>
          <w:iCs w:val="false"/>
          <w:color w:val="1A1A1A"/>
          <w:sz w:val="22"/>
          <w:szCs w:val="22"/>
        </w:rPr>
        <w:t xml:space="preserve">The test has a single foundational premise: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4"/>
              <w:left w:val="single" w:color="C9A84C" w:sz="20"/>
              <w:bottom w:val="single" w:color="C9A84C" w:sz="4"/>
              <w:right w:val="none" w:color="FFFFFF" w:sz="0"/>
            </w:tcBorders>
            <w:shd w:fill="F5EDD6" w:val="clear"/>
            <w:tcMar>
              <w:top w:type="dxa" w:w="180"/>
              <w:left w:type="dxa" w:w="280"/>
              <w:bottom w:type="dxa" w:w="180"/>
              <w:right w:type="dxa" w:w="200"/>
            </w:tcMar>
          </w:tcPr>
          <w:p>
            <w:pPr>
              <w:spacing w:before="40" w:after="80"/>
            </w:pPr>
            <w:r>
              <w:rPr>
                <w:rFonts w:ascii="Arial" w:cs="Arial" w:eastAsia="Arial" w:hAnsi="Arial"/>
                <w:b/>
                <w:bCs/>
                <w:color w:val="1A1A2E"/>
                <w:sz w:val="26"/>
                <w:szCs w:val="26"/>
              </w:rPr>
              <w:t xml:space="preserve">Truth is structurally self-sustaining. A manufactured narrative is not.</w:t>
            </w:r>
          </w:p>
          <w:p>
            <w:pPr>
              <w:spacing w:before="0" w:after="40"/>
            </w:pPr>
            <w:r>
              <w:rPr>
                <w:rFonts w:ascii="Arial" w:cs="Arial" w:eastAsia="Arial" w:hAnsi="Arial"/>
                <w:color w:val="333333"/>
                <w:sz w:val="21"/>
                <w:szCs w:val="21"/>
              </w:rPr>
              <w:t xml:space="preserve">What is real persists without being held. What is false must be maintained by energy — social pressure, institutional enforcement, media cycles, or the threat of reputational cost.</w:t>
            </w:r>
          </w:p>
        </w:tc>
      </w:tr>
    </w:tbl>
    <w:p>
      <w:pPr>
        <w:spacing w:before="160" w:after="160"/>
      </w:pPr>
      <w:r>
        <w:t xml:space="preserve"/>
      </w:r>
    </w:p>
    <w:p>
      <w:pPr>
        <w:spacing w:before="80" w:after="80"/>
        <w:jc w:val="left"/>
      </w:pPr>
      <w:r>
        <w:rPr>
          <w:rFonts w:ascii="Arial" w:cs="Arial" w:eastAsia="Arial" w:hAnsi="Arial"/>
          <w:b w:val="false"/>
          <w:bCs w:val="false"/>
          <w:i w:val="false"/>
          <w:iCs w:val="false"/>
          <w:color w:val="1A1A1A"/>
          <w:sz w:val="22"/>
          <w:szCs w:val="22"/>
        </w:rPr>
        <w:t xml:space="preserve">This is not a philosophical preference. It is a structural law. Any claim that requires continuous external energy to prevent collapse is, by definition, not self-sustaining. It is not Bedrock. It is Sand.</w:t>
      </w:r>
    </w:p>
    <w:p>
      <w:pPr>
        <w:spacing w:before="80" w:after="80"/>
      </w:pPr>
      <w:r>
        <w:t xml:space="preserve"/>
      </w:r>
    </w:p>
    <w:p>
      <w:pPr>
        <w:spacing w:before="80" w:after="80"/>
        <w:jc w:val="left"/>
      </w:pPr>
      <w:r>
        <w:rPr>
          <w:rFonts w:ascii="Arial" w:cs="Arial" w:eastAsia="Arial" w:hAnsi="Arial"/>
          <w:b/>
          <w:bCs/>
          <w:i w:val="false"/>
          <w:iCs w:val="false"/>
          <w:color w:val="1A1A1A"/>
          <w:sz w:val="22"/>
          <w:szCs w:val="22"/>
        </w:rPr>
        <w:t xml:space="preserve">The Maintenance Test gives you the instrument to measure the difference.</w:t>
      </w:r>
    </w:p>
    <w:p>
      <w:pPr>
        <w:spacing w:before="200" w:after="200"/>
      </w:pPr>
      <w:r>
        <w:t xml:space="preserve"/>
      </w:r>
    </w:p>
    <w:p>
      <w:pPr>
        <w:pBdr>
          <w:bottom w:val="single" w:color="C9A84C" w:sz="6" w:space="1"/>
        </w:pBdr>
        <w:spacing w:before="80" w:after="80"/>
      </w:pPr>
      <w:r>
        <w:t xml:space="preserve"/>
      </w:r>
    </w:p>
    <w:p>
      <w:pPr>
        <w:spacing w:before="100" w:after="100"/>
      </w:pPr>
      <w:r>
        <w:t xml:space="preserve"/>
      </w:r>
    </w:p>
    <w:p>
      <w:pPr>
        <w:shd w:fill="1A1A2E" w:val="clear"/>
        <w:spacing w:before="320" w:after="120"/>
      </w:pPr>
      <w:r>
        <w:rPr>
          <w:rFonts w:ascii="Arial" w:cs="Arial" w:eastAsia="Arial" w:hAnsi="Arial"/>
          <w:b/>
          <w:bCs/>
          <w:color w:val="C9A84C"/>
          <w:sz w:val="26"/>
          <w:szCs w:val="26"/>
        </w:rPr>
        <w:t xml:space="preserve">SECTION 1  |  THE CORE STRUCTURAL DISTINCTION</w:t>
      </w:r>
    </w:p>
    <w:p>
      <w:pPr>
        <w:spacing w:before="80" w:after="80"/>
      </w:pPr>
      <w:r>
        <w:t xml:space="preserve"/>
      </w:r>
    </w:p>
    <w:p>
      <w:pPr>
        <w:spacing w:before="80" w:after="80"/>
        <w:jc w:val="left"/>
      </w:pPr>
      <w:r>
        <w:rPr>
          <w:rFonts w:ascii="Arial" w:cs="Arial" w:eastAsia="Arial" w:hAnsi="Arial"/>
          <w:b/>
          <w:bCs/>
          <w:i w:val="false"/>
          <w:iCs w:val="false"/>
          <w:color w:val="1A1A1A"/>
          <w:sz w:val="22"/>
          <w:szCs w:val="22"/>
        </w:rPr>
        <w:t xml:space="preserve">Before applying the test, establish the foundational distinction clearly.</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9A84C" w:sz="4"/>
              <w:left w:val="single" w:color="C9A84C" w:sz="4"/>
              <w:bottom w:val="single" w:color="C9A84C" w:sz="4"/>
              <w:right w:val="single" w:color="C9A84C" w:sz="4"/>
            </w:tcBorders>
            <w:shd w:fill="1A1A2E" w:val="clear"/>
            <w:tcMar>
              <w:top w:type="dxa" w:w="160"/>
              <w:left w:type="dxa" w:w="200"/>
              <w:bottom w:type="dxa" w:w="160"/>
              <w:right w:type="dxa" w:w="200"/>
            </w:tcMar>
          </w:tcPr>
          <w:p>
            <w:pPr>
              <w:spacing w:before="40" w:after="80"/>
            </w:pPr>
            <w:r>
              <w:rPr>
                <w:rFonts w:ascii="Arial" w:cs="Arial" w:eastAsia="Arial" w:hAnsi="Arial"/>
                <w:b/>
                <w:bCs/>
                <w:color w:val="C9A84C"/>
                <w:sz w:val="24"/>
                <w:szCs w:val="24"/>
              </w:rPr>
              <w:t xml:space="preserve">BEDROCK</w:t>
            </w:r>
          </w:p>
          <w:p>
            <w:pPr>
              <w:spacing w:before="0" w:after="0"/>
            </w:pPr>
            <w:r>
              <w:rPr>
                <w:rFonts w:ascii="Arial" w:cs="Arial" w:eastAsia="Arial" w:hAnsi="Arial"/>
                <w:i/>
                <w:iCs/>
                <w:color w:val="AAAAAA"/>
                <w:sz w:val="20"/>
                <w:szCs w:val="20"/>
              </w:rPr>
              <w:t xml:space="preserve">Structurally self-sustaining truth</w:t>
            </w:r>
          </w:p>
        </w:tc>
        <w:tc>
          <w:tcPr>
            <w:tcW w:type="dxa" w:w="4680"/>
            <w:tcBorders>
              <w:top w:val="single" w:color="C9A84C" w:sz="4"/>
              <w:left w:val="single" w:color="C9A84C" w:sz="4"/>
              <w:bottom w:val="single" w:color="C9A84C" w:sz="4"/>
              <w:right w:val="single" w:color="C9A84C" w:sz="4"/>
            </w:tcBorders>
            <w:shd w:fill="2E2E4E" w:val="clear"/>
            <w:tcMar>
              <w:top w:type="dxa" w:w="160"/>
              <w:left w:type="dxa" w:w="200"/>
              <w:bottom w:type="dxa" w:w="160"/>
              <w:right w:type="dxa" w:w="200"/>
            </w:tcMar>
          </w:tcPr>
          <w:p>
            <w:pPr>
              <w:spacing w:before="40" w:after="80"/>
            </w:pPr>
            <w:r>
              <w:rPr>
                <w:rFonts w:ascii="Arial" w:cs="Arial" w:eastAsia="Arial" w:hAnsi="Arial"/>
                <w:b/>
                <w:bCs/>
                <w:color w:val="CC4444"/>
                <w:sz w:val="24"/>
                <w:szCs w:val="24"/>
              </w:rPr>
              <w:t xml:space="preserve">SAND</w:t>
            </w:r>
          </w:p>
          <w:p>
            <w:pPr>
              <w:spacing w:before="0" w:after="0"/>
            </w:pPr>
            <w:r>
              <w:rPr>
                <w:rFonts w:ascii="Arial" w:cs="Arial" w:eastAsia="Arial" w:hAnsi="Arial"/>
                <w:i/>
                <w:iCs/>
                <w:color w:val="AAAAAA"/>
                <w:sz w:val="20"/>
                <w:szCs w:val="20"/>
              </w:rPr>
              <w:t xml:space="preserve">Maintained narrative requiring energy</w:t>
            </w:r>
          </w:p>
        </w:tc>
      </w:tr>
      <w:tr>
        <w:tc>
          <w:tcPr>
            <w:tcW w:type="dxa" w:w="4680"/>
            <w:tcBorders>
              <w:top w:val="single" w:color="C9A84C" w:sz="4"/>
              <w:left w:val="single" w:color="C9A84C" w:sz="4"/>
              <w:bottom w:val="single" w:color="C9A84C" w:sz="4"/>
              <w:right w:val="single" w:color="C9A84C" w:sz="4"/>
            </w:tcBorders>
            <w:shd w:fill="1A1A2E" w:val="clear"/>
            <w:tcMar>
              <w:top w:type="dxa" w:w="160"/>
              <w:left w:type="dxa" w:w="200"/>
              <w:bottom w:type="dxa" w:w="160"/>
              <w:right w:type="dxa" w:w="200"/>
            </w:tcMar>
          </w:tcPr>
          <w:p>
            <w:pPr>
              <w:spacing w:before="40" w:after="40"/>
            </w:pPr>
            <w:r>
              <w:rPr>
                <w:rFonts w:ascii="Arial" w:cs="Arial" w:eastAsia="Arial" w:hAnsi="Arial"/>
                <w:b/>
                <w:bCs/>
                <w:color w:val="FFFFFF"/>
                <w:sz w:val="21"/>
                <w:szCs w:val="21"/>
              </w:rPr>
              <w:t xml:space="preserve">Stays when unobserved</w:t>
            </w:r>
          </w:p>
        </w:tc>
        <w:tc>
          <w:tcPr>
            <w:tcW w:type="dxa" w:w="4680"/>
            <w:tcBorders>
              <w:top w:val="single" w:color="C9A84C" w:sz="4"/>
              <w:left w:val="single" w:color="C9A84C" w:sz="4"/>
              <w:bottom w:val="single" w:color="C9A84C" w:sz="4"/>
              <w:right w:val="single" w:color="C9A84C" w:sz="4"/>
            </w:tcBorders>
            <w:shd w:fill="F8F8F8" w:val="clear"/>
            <w:tcMar>
              <w:top w:type="dxa" w:w="160"/>
              <w:left w:type="dxa" w:w="200"/>
              <w:bottom w:type="dxa" w:w="160"/>
              <w:right w:type="dxa" w:w="200"/>
            </w:tcMar>
          </w:tcPr>
          <w:p>
            <w:pPr>
              <w:spacing w:before="40" w:after="40"/>
            </w:pPr>
            <w:r>
              <w:rPr>
                <w:rFonts w:ascii="Arial" w:cs="Arial" w:eastAsia="Arial" w:hAnsi="Arial"/>
                <w:b w:val="false"/>
                <w:bCs w:val="false"/>
                <w:color w:val="1A1A1A"/>
                <w:sz w:val="21"/>
                <w:szCs w:val="21"/>
              </w:rPr>
              <w:t xml:space="preserve">Collapses when unmaintained</w:t>
            </w:r>
          </w:p>
        </w:tc>
      </w:tr>
      <w:tr>
        <w:tc>
          <w:tcPr>
            <w:tcW w:type="dxa" w:w="4680"/>
            <w:tcBorders>
              <w:top w:val="single" w:color="C9A84C" w:sz="4"/>
              <w:left w:val="single" w:color="C9A84C" w:sz="4"/>
              <w:bottom w:val="single" w:color="C9A84C" w:sz="4"/>
              <w:right w:val="single" w:color="C9A84C" w:sz="4"/>
            </w:tcBorders>
            <w:shd w:fill="1A1A2E" w:val="clear"/>
            <w:tcMar>
              <w:top w:type="dxa" w:w="160"/>
              <w:left w:type="dxa" w:w="200"/>
              <w:bottom w:type="dxa" w:w="160"/>
              <w:right w:type="dxa" w:w="200"/>
            </w:tcMar>
          </w:tcPr>
          <w:p>
            <w:pPr>
              <w:spacing w:before="40" w:after="40"/>
            </w:pPr>
            <w:r>
              <w:rPr>
                <w:rFonts w:ascii="Arial" w:cs="Arial" w:eastAsia="Arial" w:hAnsi="Arial"/>
                <w:b/>
                <w:bCs/>
                <w:color w:val="FFFFFF"/>
                <w:sz w:val="21"/>
                <w:szCs w:val="21"/>
              </w:rPr>
              <w:t xml:space="preserve">Welcomes inquiry at zero cost</w:t>
            </w:r>
          </w:p>
        </w:tc>
        <w:tc>
          <w:tcPr>
            <w:tcW w:type="dxa" w:w="4680"/>
            <w:tcBorders>
              <w:top w:val="single" w:color="C9A84C" w:sz="4"/>
              <w:left w:val="single" w:color="C9A84C" w:sz="4"/>
              <w:bottom w:val="single" w:color="C9A84C" w:sz="4"/>
              <w:right w:val="single" w:color="C9A84C" w:sz="4"/>
            </w:tcBorders>
            <w:shd w:fill="F8F8F8" w:val="clear"/>
            <w:tcMar>
              <w:top w:type="dxa" w:w="160"/>
              <w:left w:type="dxa" w:w="200"/>
              <w:bottom w:type="dxa" w:w="160"/>
              <w:right w:type="dxa" w:w="200"/>
            </w:tcMar>
          </w:tcPr>
          <w:p>
            <w:pPr>
              <w:spacing w:before="40" w:after="40"/>
            </w:pPr>
            <w:r>
              <w:rPr>
                <w:rFonts w:ascii="Arial" w:cs="Arial" w:eastAsia="Arial" w:hAnsi="Arial"/>
                <w:b w:val="false"/>
                <w:bCs w:val="false"/>
                <w:color w:val="1A1A1A"/>
                <w:sz w:val="21"/>
                <w:szCs w:val="21"/>
              </w:rPr>
              <w:t xml:space="preserve">Increases cost of questioning</w:t>
            </w:r>
          </w:p>
        </w:tc>
      </w:tr>
      <w:tr>
        <w:tc>
          <w:tcPr>
            <w:tcW w:type="dxa" w:w="4680"/>
            <w:tcBorders>
              <w:top w:val="single" w:color="C9A84C" w:sz="4"/>
              <w:left w:val="single" w:color="C9A84C" w:sz="4"/>
              <w:bottom w:val="single" w:color="C9A84C" w:sz="4"/>
              <w:right w:val="single" w:color="C9A84C" w:sz="4"/>
            </w:tcBorders>
            <w:shd w:fill="1A1A2E" w:val="clear"/>
            <w:tcMar>
              <w:top w:type="dxa" w:w="160"/>
              <w:left w:type="dxa" w:w="200"/>
              <w:bottom w:type="dxa" w:w="160"/>
              <w:right w:type="dxa" w:w="200"/>
            </w:tcMar>
          </w:tcPr>
          <w:p>
            <w:pPr>
              <w:spacing w:before="40" w:after="40"/>
            </w:pPr>
            <w:r>
              <w:rPr>
                <w:rFonts w:ascii="Arial" w:cs="Arial" w:eastAsia="Arial" w:hAnsi="Arial"/>
                <w:b/>
                <w:bCs/>
                <w:color w:val="FFFFFF"/>
                <w:sz w:val="21"/>
                <w:szCs w:val="21"/>
              </w:rPr>
              <w:t xml:space="preserve">Grows deeper under examination</w:t>
            </w:r>
          </w:p>
        </w:tc>
        <w:tc>
          <w:tcPr>
            <w:tcW w:type="dxa" w:w="4680"/>
            <w:tcBorders>
              <w:top w:val="single" w:color="C9A84C" w:sz="4"/>
              <w:left w:val="single" w:color="C9A84C" w:sz="4"/>
              <w:bottom w:val="single" w:color="C9A84C" w:sz="4"/>
              <w:right w:val="single" w:color="C9A84C" w:sz="4"/>
            </w:tcBorders>
            <w:shd w:fill="F8F8F8" w:val="clear"/>
            <w:tcMar>
              <w:top w:type="dxa" w:w="160"/>
              <w:left w:type="dxa" w:w="200"/>
              <w:bottom w:type="dxa" w:w="160"/>
              <w:right w:type="dxa" w:w="200"/>
            </w:tcMar>
          </w:tcPr>
          <w:p>
            <w:pPr>
              <w:spacing w:before="40" w:after="40"/>
            </w:pPr>
            <w:r>
              <w:rPr>
                <w:rFonts w:ascii="Arial" w:cs="Arial" w:eastAsia="Arial" w:hAnsi="Arial"/>
                <w:b w:val="false"/>
                <w:bCs w:val="false"/>
                <w:color w:val="1A1A1A"/>
                <w:sz w:val="21"/>
                <w:szCs w:val="21"/>
              </w:rPr>
              <w:t xml:space="preserve">Repeats louder under pressure</w:t>
            </w:r>
          </w:p>
        </w:tc>
      </w:tr>
      <w:tr>
        <w:tc>
          <w:tcPr>
            <w:tcW w:type="dxa" w:w="4680"/>
            <w:tcBorders>
              <w:top w:val="single" w:color="C9A84C" w:sz="4"/>
              <w:left w:val="single" w:color="C9A84C" w:sz="4"/>
              <w:bottom w:val="single" w:color="C9A84C" w:sz="4"/>
              <w:right w:val="single" w:color="C9A84C" w:sz="4"/>
            </w:tcBorders>
            <w:shd w:fill="1A1A2E" w:val="clear"/>
            <w:tcMar>
              <w:top w:type="dxa" w:w="160"/>
              <w:left w:type="dxa" w:w="200"/>
              <w:bottom w:type="dxa" w:w="160"/>
              <w:right w:type="dxa" w:w="200"/>
            </w:tcMar>
          </w:tcPr>
          <w:p>
            <w:pPr>
              <w:spacing w:before="40" w:after="40"/>
            </w:pPr>
            <w:r>
              <w:rPr>
                <w:rFonts w:ascii="Arial" w:cs="Arial" w:eastAsia="Arial" w:hAnsi="Arial"/>
                <w:b/>
                <w:bCs/>
                <w:color w:val="FFFFFF"/>
                <w:sz w:val="21"/>
                <w:szCs w:val="21"/>
              </w:rPr>
              <w:t xml:space="preserve">Proof rests on the logic</w:t>
            </w:r>
          </w:p>
        </w:tc>
        <w:tc>
          <w:tcPr>
            <w:tcW w:type="dxa" w:w="4680"/>
            <w:tcBorders>
              <w:top w:val="single" w:color="C9A84C" w:sz="4"/>
              <w:left w:val="single" w:color="C9A84C" w:sz="4"/>
              <w:bottom w:val="single" w:color="C9A84C" w:sz="4"/>
              <w:right w:val="single" w:color="C9A84C" w:sz="4"/>
            </w:tcBorders>
            <w:shd w:fill="F8F8F8" w:val="clear"/>
            <w:tcMar>
              <w:top w:type="dxa" w:w="160"/>
              <w:left w:type="dxa" w:w="200"/>
              <w:bottom w:type="dxa" w:w="160"/>
              <w:right w:type="dxa" w:w="200"/>
            </w:tcMar>
          </w:tcPr>
          <w:p>
            <w:pPr>
              <w:spacing w:before="40" w:after="40"/>
            </w:pPr>
            <w:r>
              <w:rPr>
                <w:rFonts w:ascii="Arial" w:cs="Arial" w:eastAsia="Arial" w:hAnsi="Arial"/>
                <w:b w:val="false"/>
                <w:bCs w:val="false"/>
                <w:color w:val="1A1A1A"/>
                <w:sz w:val="21"/>
                <w:szCs w:val="21"/>
              </w:rPr>
              <w:t xml:space="preserve">Proof rests on the questioner</w:t>
            </w:r>
          </w:p>
        </w:tc>
      </w:tr>
      <w:tr>
        <w:tc>
          <w:tcPr>
            <w:tcW w:type="dxa" w:w="4680"/>
            <w:tcBorders>
              <w:top w:val="single" w:color="C9A84C" w:sz="4"/>
              <w:left w:val="single" w:color="C9A84C" w:sz="4"/>
              <w:bottom w:val="single" w:color="C9A84C" w:sz="4"/>
              <w:right w:val="single" w:color="C9A84C" w:sz="4"/>
            </w:tcBorders>
            <w:shd w:fill="1A1A2E" w:val="clear"/>
            <w:tcMar>
              <w:top w:type="dxa" w:w="160"/>
              <w:left w:type="dxa" w:w="200"/>
              <w:bottom w:type="dxa" w:w="160"/>
              <w:right w:type="dxa" w:w="200"/>
            </w:tcMar>
          </w:tcPr>
          <w:p>
            <w:pPr>
              <w:spacing w:before="40" w:after="40"/>
            </w:pPr>
            <w:r>
              <w:rPr>
                <w:rFonts w:ascii="Arial" w:cs="Arial" w:eastAsia="Arial" w:hAnsi="Arial"/>
                <w:b/>
                <w:bCs/>
                <w:color w:val="FFFFFF"/>
                <w:sz w:val="21"/>
                <w:szCs w:val="21"/>
              </w:rPr>
              <w:t xml:space="preserve">Anomalies refine the claim</w:t>
            </w:r>
          </w:p>
        </w:tc>
        <w:tc>
          <w:tcPr>
            <w:tcW w:type="dxa" w:w="4680"/>
            <w:tcBorders>
              <w:top w:val="single" w:color="C9A84C" w:sz="4"/>
              <w:left w:val="single" w:color="C9A84C" w:sz="4"/>
              <w:bottom w:val="single" w:color="C9A84C" w:sz="4"/>
              <w:right w:val="single" w:color="C9A84C" w:sz="4"/>
            </w:tcBorders>
            <w:shd w:fill="F8F8F8" w:val="clear"/>
            <w:tcMar>
              <w:top w:type="dxa" w:w="160"/>
              <w:left w:type="dxa" w:w="200"/>
              <w:bottom w:type="dxa" w:w="160"/>
              <w:right w:type="dxa" w:w="200"/>
            </w:tcMar>
          </w:tcPr>
          <w:p>
            <w:pPr>
              <w:spacing w:before="40" w:after="40"/>
            </w:pPr>
            <w:r>
              <w:rPr>
                <w:rFonts w:ascii="Arial" w:cs="Arial" w:eastAsia="Arial" w:hAnsi="Arial"/>
                <w:b w:val="false"/>
                <w:bCs w:val="false"/>
                <w:color w:val="1A1A1A"/>
                <w:sz w:val="21"/>
                <w:szCs w:val="21"/>
              </w:rPr>
              <w:t xml:space="preserve">Anomalies are suppressed or reframed</w:t>
            </w:r>
          </w:p>
        </w:tc>
      </w:tr>
    </w:tbl>
    <w:p>
      <w:pPr>
        <w:spacing w:before="200" w:after="200"/>
      </w:pPr>
      <w:r>
        <w:t xml:space="preserve"/>
      </w:r>
    </w:p>
    <w:p>
      <w:pPr>
        <w:pBdr>
          <w:bottom w:val="single" w:color="C9A84C" w:sz="6" w:space="1"/>
        </w:pBdr>
        <w:spacing w:before="80" w:after="80"/>
      </w:pPr>
      <w:r>
        <w:t xml:space="preserve"/>
      </w:r>
    </w:p>
    <w:p>
      <w:pPr>
        <w:spacing w:before="100" w:after="100"/>
      </w:pPr>
      <w:r>
        <w:t xml:space="preserve"/>
      </w:r>
    </w:p>
    <w:p>
      <w:pPr>
        <w:shd w:fill="1A1A2E" w:val="clear"/>
        <w:spacing w:before="320" w:after="120"/>
      </w:pPr>
      <w:r>
        <w:rPr>
          <w:rFonts w:ascii="Arial" w:cs="Arial" w:eastAsia="Arial" w:hAnsi="Arial"/>
          <w:b/>
          <w:bCs/>
          <w:color w:val="C9A84C"/>
          <w:sz w:val="26"/>
          <w:szCs w:val="26"/>
        </w:rPr>
        <w:t xml:space="preserve">SECTION 2  |  THE THREE-STEP MAINTENANCE TEST</w:t>
      </w:r>
    </w:p>
    <w:p>
      <w:pPr>
        <w:spacing w:before="80" w:after="80"/>
      </w:pPr>
      <w:r>
        <w:t xml:space="preserve"/>
      </w:r>
    </w:p>
    <w:p>
      <w:pPr>
        <w:spacing w:before="80" w:after="80"/>
        <w:jc w:val="left"/>
      </w:pPr>
      <w:r>
        <w:rPr>
          <w:rFonts w:ascii="Arial" w:cs="Arial" w:eastAsia="Arial" w:hAnsi="Arial"/>
          <w:b w:val="false"/>
          <w:bCs w:val="false"/>
          <w:i w:val="false"/>
          <w:iCs w:val="false"/>
          <w:color w:val="1A1A1A"/>
          <w:sz w:val="21"/>
          <w:szCs w:val="21"/>
        </w:rPr>
        <w:t xml:space="preserve">Apply these three steps in sequence. Each step is a structural test, not an opinion poll. Document what you observe, not what you expect.</w:t>
      </w:r>
    </w:p>
    <w:p>
      <w:pPr>
        <w:spacing w:before="16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4"/>
              <w:left w:val="single" w:color="C9A84C" w:sz="16"/>
              <w:bottom w:val="single" w:color="C9A84C" w:sz="4"/>
              <w:right w:val="none" w:color="FFFFFF" w:sz="0"/>
            </w:tcBorders>
            <w:shd w:fill="2E2E4E" w:val="clear"/>
            <w:tcMar>
              <w:top w:type="dxa" w:w="200"/>
              <w:left w:type="dxa" w:w="280"/>
              <w:bottom w:type="dxa" w:w="200"/>
              <w:right w:type="dxa" w:w="200"/>
            </w:tcMar>
          </w:tcPr>
          <w:p>
            <w:pPr>
              <w:spacing w:before="80" w:after="100"/>
            </w:pPr>
            <w:r>
              <w:rPr>
                <w:rFonts w:ascii="Arial" w:cs="Arial" w:eastAsia="Arial" w:hAnsi="Arial"/>
                <w:b/>
                <w:bCs/>
                <w:color w:val="C9A84C"/>
                <w:sz w:val="28"/>
                <w:szCs w:val="28"/>
              </w:rPr>
              <w:t xml:space="preserve">STEP 1  </w:t>
            </w:r>
            <w:r>
              <w:rPr>
                <w:rFonts w:ascii="Arial" w:cs="Arial" w:eastAsia="Arial" w:hAnsi="Arial"/>
                <w:b/>
                <w:bCs/>
                <w:color w:val="FFFFFF"/>
                <w:sz w:val="28"/>
                <w:szCs w:val="28"/>
              </w:rPr>
              <w:t xml:space="preserve">MEASURE THE COST OF WHY</w:t>
            </w:r>
          </w:p>
          <w:p>
            <w:pPr>
              <w:spacing w:before="40" w:after="100"/>
            </w:pPr>
            <w:r>
              <w:rPr>
                <w:rFonts w:ascii="Arial" w:cs="Arial" w:eastAsia="Arial" w:hAnsi="Arial"/>
                <w:color w:val="DDDDDD"/>
                <w:sz w:val="21"/>
                <w:szCs w:val="21"/>
              </w:rPr>
              <w:t xml:space="preserve">Ask a sincere, direct question about the foundational claim. Not a hostile question. A precise one. Watch the response structure — not the content, the structure.</w:t>
            </w:r>
          </w:p>
          <w:p>
            <w:pPr>
              <w:spacing w:before="60" w:after="40"/>
            </w:pPr>
            <w:r>
              <w:rPr>
                <w:rFonts w:ascii="Arial" w:cs="Arial" w:eastAsia="Arial" w:hAnsi="Arial"/>
                <w:b/>
                <w:bCs/>
                <w:color w:val="C9A84C"/>
                <w:sz w:val="20"/>
                <w:szCs w:val="20"/>
              </w:rPr>
              <w:t xml:space="preserve">You are looking for:</w:t>
            </w:r>
          </w:p>
          <w:p>
            <w:pPr>
              <w:pStyle w:val="ListParagraph"/>
              <w:numPr>
                <w:ilvl w:val="0"/>
                <w:numId w:val="2"/>
              </w:numPr>
              <w:spacing w:before="40" w:after="40"/>
            </w:pPr>
            <w:r>
              <w:rPr>
                <w:rFonts w:ascii="Arial" w:cs="Arial" w:eastAsia="Arial" w:hAnsi="Arial"/>
                <w:color w:val="CCCCCC"/>
                <w:sz w:val="20"/>
                <w:szCs w:val="20"/>
              </w:rPr>
              <w:t xml:space="preserve">Does the response address the question directly, or redirect to a different question?</w:t>
            </w:r>
          </w:p>
          <w:p>
            <w:pPr>
              <w:pStyle w:val="ListParagraph"/>
              <w:numPr>
                <w:ilvl w:val="0"/>
                <w:numId w:val="2"/>
              </w:numPr>
              <w:spacing w:before="40" w:after="40"/>
            </w:pPr>
            <w:r>
              <w:rPr>
                <w:rFonts w:ascii="Arial" w:cs="Arial" w:eastAsia="Arial" w:hAnsi="Arial"/>
                <w:color w:val="CCCCCC"/>
                <w:sz w:val="20"/>
                <w:szCs w:val="20"/>
              </w:rPr>
              <w:t xml:space="preserve">Does the person answering treat themselves as a conduit for logic, or as the authority validating the claim?</w:t>
            </w:r>
          </w:p>
          <w:p>
            <w:pPr>
              <w:pStyle w:val="ListParagraph"/>
              <w:numPr>
                <w:ilvl w:val="0"/>
                <w:numId w:val="2"/>
              </w:numPr>
              <w:spacing w:before="40" w:after="40"/>
            </w:pPr>
            <w:r>
              <w:rPr>
                <w:rFonts w:ascii="Arial" w:cs="Arial" w:eastAsia="Arial" w:hAnsi="Arial"/>
                <w:color w:val="CCCCCC"/>
                <w:sz w:val="20"/>
                <w:szCs w:val="20"/>
              </w:rPr>
              <w:t xml:space="preserve">Is the cost of asking zero, or does asking carry a social, professional, or reputational price?</w:t>
            </w:r>
          </w:p>
        </w:tc>
      </w:tr>
    </w:tbl>
    <w:p>
      <w:pPr>
        <w:spacing w:before="140" w:after="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4"/>
              <w:left w:val="single" w:color="C9A84C" w:sz="16"/>
              <w:bottom w:val="single" w:color="C9A84C" w:sz="4"/>
              <w:right w:val="none" w:color="FFFFFF" w:sz="0"/>
            </w:tcBorders>
            <w:shd w:fill="2E2E4E" w:val="clear"/>
            <w:tcMar>
              <w:top w:type="dxa" w:w="200"/>
              <w:left w:type="dxa" w:w="280"/>
              <w:bottom w:type="dxa" w:w="200"/>
              <w:right w:type="dxa" w:w="200"/>
            </w:tcMar>
          </w:tcPr>
          <w:p>
            <w:pPr>
              <w:spacing w:before="80" w:after="100"/>
            </w:pPr>
            <w:r>
              <w:rPr>
                <w:rFonts w:ascii="Arial" w:cs="Arial" w:eastAsia="Arial" w:hAnsi="Arial"/>
                <w:b/>
                <w:bCs/>
                <w:color w:val="C9A84C"/>
                <w:sz w:val="28"/>
                <w:szCs w:val="28"/>
              </w:rPr>
              <w:t xml:space="preserve">STEP 2  </w:t>
            </w:r>
            <w:r>
              <w:rPr>
                <w:rFonts w:ascii="Arial" w:cs="Arial" w:eastAsia="Arial" w:hAnsi="Arial"/>
                <w:b/>
                <w:bCs/>
                <w:color w:val="FFFFFF"/>
                <w:sz w:val="28"/>
                <w:szCs w:val="28"/>
              </w:rPr>
              <w:t xml:space="preserve">TEST FOR RECURSIVE DEPTH</w:t>
            </w:r>
          </w:p>
          <w:p>
            <w:pPr>
              <w:spacing w:before="40" w:after="100"/>
            </w:pPr>
            <w:r>
              <w:rPr>
                <w:rFonts w:ascii="Arial" w:cs="Arial" w:eastAsia="Arial" w:hAnsi="Arial"/>
                <w:color w:val="DDDDDD"/>
                <w:sz w:val="21"/>
                <w:szCs w:val="21"/>
              </w:rPr>
              <w:t xml:space="preserve">Follow the answer with a second Why. Then a third. You are not being combative. You are testing whether the claim has structural depth or a terminal wall.</w:t>
            </w:r>
          </w:p>
          <w:p>
            <w:pPr>
              <w:spacing w:before="60" w:after="40"/>
            </w:pPr>
            <w:r>
              <w:rPr>
                <w:rFonts w:ascii="Arial" w:cs="Arial" w:eastAsia="Arial" w:hAnsi="Arial"/>
                <w:b/>
                <w:bCs/>
                <w:color w:val="C9A84C"/>
                <w:sz w:val="20"/>
                <w:szCs w:val="20"/>
              </w:rPr>
              <w:t xml:space="preserve">Bedrock response pattern:</w:t>
            </w:r>
          </w:p>
          <w:p>
            <w:pPr>
              <w:pStyle w:val="ListParagraph"/>
              <w:numPr>
                <w:ilvl w:val="0"/>
                <w:numId w:val="2"/>
              </w:numPr>
              <w:spacing w:before="40" w:after="40"/>
            </w:pPr>
            <w:r>
              <w:rPr>
                <w:rFonts w:ascii="Arial" w:cs="Arial" w:eastAsia="Arial" w:hAnsi="Arial"/>
                <w:color w:val="CCCCCC"/>
                <w:sz w:val="20"/>
                <w:szCs w:val="20"/>
              </w:rPr>
              <w:t xml:space="preserve">Each layer of Why produces a more fundamental and consistent explanation.</w:t>
            </w:r>
          </w:p>
          <w:p>
            <w:pPr>
              <w:pStyle w:val="ListParagraph"/>
              <w:numPr>
                <w:ilvl w:val="0"/>
                <w:numId w:val="2"/>
              </w:numPr>
              <w:spacing w:before="40" w:after="40"/>
            </w:pPr>
            <w:r>
              <w:rPr>
                <w:rFonts w:ascii="Arial" w:cs="Arial" w:eastAsia="Arial" w:hAnsi="Arial"/>
                <w:color w:val="CCCCCC"/>
                <w:sz w:val="20"/>
                <w:szCs w:val="20"/>
              </w:rPr>
              <w:t xml:space="preserve">The explanatory chain converges — it doesn’t loop back to the original assertion.</w:t>
            </w:r>
          </w:p>
          <w:p>
            <w:pPr>
              <w:pStyle w:val="ListParagraph"/>
              <w:numPr>
                <w:ilvl w:val="0"/>
                <w:numId w:val="2"/>
              </w:numPr>
              <w:spacing w:before="40" w:after="40"/>
            </w:pPr>
            <w:r>
              <w:rPr>
                <w:rFonts w:ascii="Arial" w:cs="Arial" w:eastAsia="Arial" w:hAnsi="Arial"/>
                <w:color w:val="CCCCCC"/>
                <w:sz w:val="20"/>
                <w:szCs w:val="20"/>
              </w:rPr>
              <w:t xml:space="preserve">The person can say “I don’t know” at depth without the claim collapsing.</w:t>
            </w:r>
          </w:p>
        </w:tc>
      </w:tr>
    </w:tbl>
    <w:p>
      <w:pPr>
        <w:spacing w:before="140" w:after="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4"/>
              <w:left w:val="single" w:color="C9A84C" w:sz="16"/>
              <w:bottom w:val="single" w:color="C9A84C" w:sz="4"/>
              <w:right w:val="none" w:color="FFFFFF" w:sz="0"/>
            </w:tcBorders>
            <w:shd w:fill="2E2E4E" w:val="clear"/>
            <w:tcMar>
              <w:top w:type="dxa" w:w="200"/>
              <w:left w:type="dxa" w:w="280"/>
              <w:bottom w:type="dxa" w:w="200"/>
              <w:right w:type="dxa" w:w="200"/>
            </w:tcMar>
          </w:tcPr>
          <w:p>
            <w:pPr>
              <w:spacing w:before="80" w:after="100"/>
            </w:pPr>
            <w:r>
              <w:rPr>
                <w:rFonts w:ascii="Arial" w:cs="Arial" w:eastAsia="Arial" w:hAnsi="Arial"/>
                <w:b/>
                <w:bCs/>
                <w:color w:val="C9A84C"/>
                <w:sz w:val="28"/>
                <w:szCs w:val="28"/>
              </w:rPr>
              <w:t xml:space="preserve">STEP 3  </w:t>
            </w:r>
            <w:r>
              <w:rPr>
                <w:rFonts w:ascii="Arial" w:cs="Arial" w:eastAsia="Arial" w:hAnsi="Arial"/>
                <w:b/>
                <w:bCs/>
                <w:color w:val="FFFFFF"/>
                <w:sz w:val="28"/>
                <w:szCs w:val="28"/>
              </w:rPr>
              <w:t xml:space="preserve">OBSERVE THE MAINTENANCE SIGNATURE</w:t>
            </w:r>
          </w:p>
          <w:p>
            <w:pPr>
              <w:spacing w:before="40" w:after="100"/>
            </w:pPr>
            <w:r>
              <w:rPr>
                <w:rFonts w:ascii="Arial" w:cs="Arial" w:eastAsia="Arial" w:hAnsi="Arial"/>
                <w:color w:val="DDDDDD"/>
                <w:sz w:val="21"/>
                <w:szCs w:val="21"/>
              </w:rPr>
              <w:t xml:space="preserve">After the exchange, note what was required to keep the claim standing. This is the diagnostic signature.</w:t>
            </w:r>
          </w:p>
          <w:p>
            <w:pPr>
              <w:spacing w:before="60" w:after="40"/>
            </w:pPr>
            <w:r>
              <w:rPr>
                <w:rFonts w:ascii="Arial" w:cs="Arial" w:eastAsia="Arial" w:hAnsi="Arial"/>
                <w:b/>
                <w:bCs/>
                <w:color w:val="C9A84C"/>
                <w:sz w:val="20"/>
                <w:szCs w:val="20"/>
              </w:rPr>
              <w:t xml:space="preserve">You are recording:</w:t>
            </w:r>
          </w:p>
          <w:p>
            <w:pPr>
              <w:pStyle w:val="ListParagraph"/>
              <w:numPr>
                <w:ilvl w:val="0"/>
                <w:numId w:val="2"/>
              </w:numPr>
              <w:spacing w:before="40" w:after="40"/>
            </w:pPr>
            <w:r>
              <w:rPr>
                <w:rFonts w:ascii="Arial" w:cs="Arial" w:eastAsia="Arial" w:hAnsi="Arial"/>
                <w:color w:val="CCCCCC"/>
                <w:sz w:val="20"/>
                <w:szCs w:val="20"/>
              </w:rPr>
              <w:t xml:space="preserve">Response Compression: Did every question resolve to the same small set of approved answers?</w:t>
            </w:r>
          </w:p>
          <w:p>
            <w:pPr>
              <w:pStyle w:val="ListParagraph"/>
              <w:numPr>
                <w:ilvl w:val="0"/>
                <w:numId w:val="2"/>
              </w:numPr>
              <w:spacing w:before="40" w:after="40"/>
            </w:pPr>
            <w:r>
              <w:rPr>
                <w:rFonts w:ascii="Arial" w:cs="Arial" w:eastAsia="Arial" w:hAnsi="Arial"/>
                <w:color w:val="CCCCCC"/>
                <w:sz w:val="20"/>
                <w:szCs w:val="20"/>
              </w:rPr>
              <w:t xml:space="preserve">Burden Asymmetry: Were you required to disprove the claim rather than the claim being required to prove itself?</w:t>
            </w:r>
          </w:p>
          <w:p>
            <w:pPr>
              <w:pStyle w:val="ListParagraph"/>
              <w:numPr>
                <w:ilvl w:val="0"/>
                <w:numId w:val="2"/>
              </w:numPr>
              <w:spacing w:before="40" w:after="40"/>
            </w:pPr>
            <w:r>
              <w:rPr>
                <w:rFonts w:ascii="Arial" w:cs="Arial" w:eastAsia="Arial" w:hAnsi="Arial"/>
                <w:color w:val="CCCCCC"/>
                <w:sz w:val="20"/>
                <w:szCs w:val="20"/>
              </w:rPr>
              <w:t xml:space="preserve">Authority Substitution: Was evidence replaced by the invocation of authority as an endpoint?</w:t>
            </w:r>
          </w:p>
          <w:p>
            <w:pPr>
              <w:pStyle w:val="ListParagraph"/>
              <w:numPr>
                <w:ilvl w:val="0"/>
                <w:numId w:val="2"/>
              </w:numPr>
              <w:spacing w:before="40" w:after="40"/>
            </w:pPr>
            <w:r>
              <w:rPr>
                <w:rFonts w:ascii="Arial" w:cs="Arial" w:eastAsia="Arial" w:hAnsi="Arial"/>
                <w:color w:val="CCCCCC"/>
                <w:sz w:val="20"/>
                <w:szCs w:val="20"/>
              </w:rPr>
              <w:t xml:space="preserve">Cost Transfer: Was the price of inquiry placed on you rather than on the claim?</w:t>
            </w:r>
          </w:p>
        </w:tc>
      </w:tr>
    </w:tbl>
    <w:p>
      <w:pPr>
        <w:spacing w:before="200" w:after="200"/>
      </w:pPr>
      <w:r>
        <w:t xml:space="preserve"/>
      </w:r>
    </w:p>
    <w:p>
      <w:pPr>
        <w:pBdr>
          <w:bottom w:val="single" w:color="C9A84C" w:sz="6" w:space="1"/>
        </w:pBdr>
        <w:spacing w:before="80" w:after="80"/>
      </w:pPr>
      <w:r>
        <w:t xml:space="preserve"/>
      </w:r>
    </w:p>
    <w:p>
      <w:pPr>
        <w:spacing w:before="100" w:after="100"/>
      </w:pPr>
      <w:r>
        <w:t xml:space="preserve"/>
      </w:r>
    </w:p>
    <w:p>
      <w:pPr>
        <w:shd w:fill="1A1A2E" w:val="clear"/>
        <w:spacing w:before="320" w:after="120"/>
      </w:pPr>
      <w:r>
        <w:rPr>
          <w:rFonts w:ascii="Arial" w:cs="Arial" w:eastAsia="Arial" w:hAnsi="Arial"/>
          <w:b/>
          <w:bCs/>
          <w:color w:val="C9A84C"/>
          <w:sz w:val="26"/>
          <w:szCs w:val="26"/>
        </w:rPr>
        <w:t xml:space="preserve">SECTION 3  |  READING THE VERDICT</w:t>
      </w:r>
    </w:p>
    <w:p>
      <w:pPr>
        <w:spacing w:before="80" w:after="80"/>
      </w:pPr>
      <w:r>
        <w:t xml:space="preserve"/>
      </w:r>
    </w:p>
    <w:p>
      <w:pPr>
        <w:spacing w:before="80" w:after="80"/>
        <w:jc w:val="left"/>
      </w:pPr>
      <w:r>
        <w:rPr>
          <w:rFonts w:ascii="Arial" w:cs="Arial" w:eastAsia="Arial" w:hAnsi="Arial"/>
          <w:b w:val="false"/>
          <w:bCs w:val="false"/>
          <w:i w:val="false"/>
          <w:iCs w:val="false"/>
          <w:color w:val="1A1A1A"/>
          <w:sz w:val="21"/>
          <w:szCs w:val="21"/>
        </w:rPr>
        <w:t xml:space="preserve">The verdict is structural, not personal. You are not judging the person. You are measuring the claim's integrity.</w:t>
      </w:r>
    </w:p>
    <w:p>
      <w:pPr>
        <w:spacing w:before="16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360"/>
        <w:gridCol w:w="4500"/>
      </w:tblGrid>
      <w:tr>
        <w:tc>
          <w:tcPr>
            <w:tcW w:type="dxa" w:w="4500"/>
            <w:tcBorders>
              <w:top w:val="none" w:color="FFFFFF" w:sz="0"/>
              <w:left w:val="none" w:color="FFFFFF" w:sz="0"/>
              <w:bottom w:val="none" w:color="FFFFFF" w:sz="0"/>
              <w:right w:val="none" w:color="FFFFFF" w:sz="0"/>
            </w:tcBorders>
          </w:tcPr>
          <w:tbl>
            <w:tblPr>
              <w:tblW w:type="dxa" w:w="4500"/>
              <w:tblBorders>
                <w:top w:val="single" w:color="auto" w:sz="4"/>
                <w:left w:val="single" w:color="auto" w:sz="4"/>
                <w:bottom w:val="single" w:color="auto" w:sz="4"/>
                <w:right w:val="single" w:color="auto" w:sz="4"/>
                <w:insideH w:val="single" w:color="auto" w:sz="4"/>
                <w:insideV w:val="single" w:color="auto" w:sz="4"/>
              </w:tblBorders>
            </w:tblPr>
            <w:tblGrid>
              <w:gridCol w:w="4500"/>
            </w:tblGrid>
            <w:tr>
              <w:tc>
                <w:tcPr>
                  <w:tcW w:type="dxa" w:w="4500"/>
                  <w:tcBorders>
                    <w:top w:val="single" w:color="C9A84C" w:sz="4"/>
                    <w:left w:val="single" w:color="C9A84C" w:sz="4"/>
                    <w:bottom w:val="single" w:color="C9A84C" w:sz="4"/>
                    <w:right w:val="single" w:color="C9A84C" w:sz="4"/>
                  </w:tcBorders>
                  <w:shd w:fill="1C3A1C" w:val="clear"/>
                  <w:tcMar>
                    <w:top w:type="dxa" w:w="180"/>
                    <w:left w:type="dxa" w:w="220"/>
                    <w:bottom w:type="dxa" w:w="180"/>
                    <w:right w:type="dxa" w:w="220"/>
                  </w:tcMar>
                </w:tcPr>
                <w:p>
                  <w:pPr>
                    <w:spacing w:before="40" w:after="80"/>
                  </w:pPr>
                  <w:r>
                    <w:rPr>
                      <w:rFonts w:ascii="Arial" w:cs="Arial" w:eastAsia="Arial" w:hAnsi="Arial"/>
                      <w:b/>
                      <w:bCs/>
                      <w:color w:val="F5EDD6"/>
                      <w:sz w:val="26"/>
                      <w:szCs w:val="26"/>
                    </w:rPr>
                    <w:t xml:space="preserve">✓  BEDROCK</w:t>
                  </w:r>
                </w:p>
                <w:p>
                  <w:pPr>
                    <w:spacing w:before="40" w:after="40"/>
                  </w:pPr>
                  <w:r>
                    <w:rPr>
                      <w:rFonts w:ascii="Arial" w:cs="Arial" w:eastAsia="Arial" w:hAnsi="Arial"/>
                      <w:color w:val="F5EDD6"/>
                      <w:sz w:val="20"/>
                      <w:szCs w:val="20"/>
                    </w:rPr>
                    <w:t xml:space="preserve">The claim stays. Inquiry is welcomed. Proof rests on the logic. Each Why produces deeper foundation. No maintenance energy detected.</w:t>
                  </w:r>
                </w:p>
              </w:tc>
            </w:tr>
          </w:tbl>
          <w:p/>
        </w:tc>
        <w:tc>
          <w:tcPr>
            <w:tcW w:type="dxa" w:w="360"/>
            <w:tcBorders>
              <w:top w:val="none" w:color="FFFFFF" w:sz="0"/>
              <w:left w:val="none" w:color="FFFFFF" w:sz="0"/>
              <w:bottom w:val="none" w:color="FFFFFF" w:sz="0"/>
              <w:right w:val="none" w:color="FFFFFF" w:sz="0"/>
            </w:tcBorders>
          </w:tcPr>
          <w:p>
            <w:pPr>
              <w:spacing w:before="120" w:after="120"/>
            </w:pPr>
            <w:r>
              <w:t xml:space="preserve"/>
            </w:r>
          </w:p>
        </w:tc>
        <w:tc>
          <w:tcPr>
            <w:tcW w:type="dxa" w:w="4500"/>
            <w:tcBorders>
              <w:top w:val="none" w:color="FFFFFF" w:sz="0"/>
              <w:left w:val="none" w:color="FFFFFF" w:sz="0"/>
              <w:bottom w:val="none" w:color="FFFFFF" w:sz="0"/>
              <w:right w:val="none" w:color="FFFFFF" w:sz="0"/>
            </w:tcBorders>
          </w:tcPr>
          <w:tbl>
            <w:tblPr>
              <w:tblW w:type="dxa" w:w="4500"/>
              <w:tblBorders>
                <w:top w:val="single" w:color="auto" w:sz="4"/>
                <w:left w:val="single" w:color="auto" w:sz="4"/>
                <w:bottom w:val="single" w:color="auto" w:sz="4"/>
                <w:right w:val="single" w:color="auto" w:sz="4"/>
                <w:insideH w:val="single" w:color="auto" w:sz="4"/>
                <w:insideV w:val="single" w:color="auto" w:sz="4"/>
              </w:tblBorders>
            </w:tblPr>
            <w:tblGrid>
              <w:gridCol w:w="4500"/>
            </w:tblGrid>
            <w:tr>
              <w:tc>
                <w:tcPr>
                  <w:tcW w:type="dxa" w:w="4500"/>
                  <w:tcBorders>
                    <w:top w:val="single" w:color="C9A84C" w:sz="4"/>
                    <w:left w:val="single" w:color="C9A84C" w:sz="4"/>
                    <w:bottom w:val="single" w:color="C9A84C" w:sz="4"/>
                    <w:right w:val="single" w:color="C9A84C" w:sz="4"/>
                  </w:tcBorders>
                  <w:shd w:fill="3A1C1C" w:val="clear"/>
                  <w:tcMar>
                    <w:top w:type="dxa" w:w="180"/>
                    <w:left w:type="dxa" w:w="220"/>
                    <w:bottom w:type="dxa" w:w="180"/>
                    <w:right w:type="dxa" w:w="220"/>
                  </w:tcMar>
                </w:tcPr>
                <w:p>
                  <w:pPr>
                    <w:spacing w:before="40" w:after="80"/>
                  </w:pPr>
                  <w:r>
                    <w:rPr>
                      <w:rFonts w:ascii="Arial" w:cs="Arial" w:eastAsia="Arial" w:hAnsi="Arial"/>
                      <w:b/>
                      <w:bCs/>
                      <w:color w:val="FFCCCC"/>
                      <w:sz w:val="26"/>
                      <w:szCs w:val="26"/>
                    </w:rPr>
                    <w:t xml:space="preserve">✗  SAND</w:t>
                  </w:r>
                </w:p>
                <w:p>
                  <w:pPr>
                    <w:spacing w:before="40" w:after="40"/>
                  </w:pPr>
                  <w:r>
                    <w:rPr>
                      <w:rFonts w:ascii="Arial" w:cs="Arial" w:eastAsia="Arial" w:hAnsi="Arial"/>
                      <w:color w:val="FFCCCC"/>
                      <w:sz w:val="20"/>
                      <w:szCs w:val="20"/>
                    </w:rPr>
                    <w:t xml:space="preserve">The claim must be held. Inquiry carries cost. Proof is transferred to the questioner. Why hits a wall. Maintenance signatures present.</w:t>
                  </w:r>
                </w:p>
              </w:tc>
            </w:tr>
          </w:tbl>
          <w:p/>
        </w:tc>
      </w:tr>
    </w:tbl>
    <w:p>
      <w:pPr>
        <w:spacing w:before="200" w:after="200"/>
      </w:pPr>
      <w:r>
        <w:t xml:space="preserve"/>
      </w:r>
    </w:p>
    <w:p>
      <w:pPr>
        <w:pBdr>
          <w:bottom w:val="single" w:color="C9A84C" w:sz="6" w:space="1"/>
        </w:pBdr>
        <w:spacing w:before="80" w:after="80"/>
      </w:pPr>
      <w:r>
        <w:t xml:space="preserve"/>
      </w:r>
    </w:p>
    <w:p>
      <w:pPr>
        <w:spacing w:before="100" w:after="100"/>
      </w:pPr>
      <w:r>
        <w:t xml:space="preserve"/>
      </w:r>
    </w:p>
    <w:p>
      <w:pPr>
        <w:shd w:fill="1A1A2E" w:val="clear"/>
        <w:spacing w:before="320" w:after="120"/>
      </w:pPr>
      <w:r>
        <w:rPr>
          <w:rFonts w:ascii="Arial" w:cs="Arial" w:eastAsia="Arial" w:hAnsi="Arial"/>
          <w:b/>
          <w:bCs/>
          <w:color w:val="C9A84C"/>
          <w:sz w:val="26"/>
          <w:szCs w:val="26"/>
        </w:rPr>
        <w:t xml:space="preserve">SECTION 4  |  THE THREE PRIMARY FAILURE SIGNATURES</w:t>
      </w:r>
    </w:p>
    <w:p>
      <w:pPr>
        <w:spacing w:before="80" w:after="80"/>
      </w:pPr>
      <w:r>
        <w:t xml:space="preserve"/>
      </w:r>
    </w:p>
    <w:p>
      <w:pPr>
        <w:spacing w:before="80" w:after="80"/>
        <w:jc w:val="left"/>
      </w:pPr>
      <w:r>
        <w:rPr>
          <w:rFonts w:ascii="Arial" w:cs="Arial" w:eastAsia="Arial" w:hAnsi="Arial"/>
          <w:b w:val="false"/>
          <w:bCs w:val="false"/>
          <w:i w:val="false"/>
          <w:iCs w:val="false"/>
          <w:color w:val="1A1A1A"/>
          <w:sz w:val="21"/>
          <w:szCs w:val="21"/>
        </w:rPr>
        <w:t xml:space="preserve">These are the observable patterns that indicate a maintained narrative rather than a self-sustaining truth. Each is measurable in real time.</w:t>
      </w:r>
    </w:p>
    <w:p>
      <w:pPr>
        <w:spacing w:before="140" w:after="140"/>
      </w:pPr>
      <w:r>
        <w:t xml:space="preserve"/>
      </w:r>
    </w:p>
    <w:p>
      <w:pPr>
        <w:spacing w:before="80" w:after="80"/>
        <w:jc w:val="left"/>
      </w:pPr>
      <w:r>
        <w:rPr>
          <w:rFonts w:ascii="Arial" w:cs="Arial" w:eastAsia="Arial" w:hAnsi="Arial"/>
          <w:b/>
          <w:bCs/>
          <w:i w:val="false"/>
          <w:iCs w:val="false"/>
          <w:color w:val="C9A84C"/>
          <w:sz w:val="22"/>
          <w:szCs w:val="22"/>
        </w:rPr>
        <w:t xml:space="preserve">RESPONSE COMPRESSION</w:t>
      </w:r>
    </w:p>
    <w:p>
      <w:pPr>
        <w:spacing w:before="80" w:after="80"/>
        <w:jc w:val="left"/>
      </w:pPr>
      <w:r>
        <w:rPr>
          <w:rFonts w:ascii="Arial" w:cs="Arial" w:eastAsia="Arial" w:hAnsi="Arial"/>
          <w:b w:val="false"/>
          <w:bCs w:val="false"/>
          <w:i w:val="false"/>
          <w:iCs w:val="false"/>
          <w:color w:val="1A1A1A"/>
          <w:sz w:val="21"/>
          <w:szCs w:val="21"/>
        </w:rPr>
        <w:t xml:space="preserve">Many different questions produce the same small set of answers. The inquiry space is being compressed. A self-sustaining truth expands under questioning. A maintained narrative contracts.</w:t>
      </w:r>
    </w:p>
    <w:p>
      <w:pPr>
        <w:spacing w:before="80" w:after="80"/>
        <w:jc w:val="left"/>
      </w:pPr>
      <w:r>
        <w:rPr>
          <w:rFonts w:ascii="Arial" w:cs="Arial" w:eastAsia="Arial" w:hAnsi="Arial"/>
          <w:b w:val="false"/>
          <w:bCs w:val="false"/>
          <w:i/>
          <w:iCs/>
          <w:color w:val="555555"/>
          <w:sz w:val="20"/>
          <w:szCs w:val="20"/>
        </w:rPr>
        <w:t xml:space="preserve">Test: Ask three structurally different questions about the same claim. If the answers converge to identical conclusions regardless of the question’s direction, compression is present.</w:t>
      </w:r>
    </w:p>
    <w:p>
      <w:pPr>
        <w:spacing w:before="120" w:after="120"/>
      </w:pPr>
      <w:r>
        <w:t xml:space="preserve"/>
      </w:r>
    </w:p>
    <w:p>
      <w:pPr>
        <w:spacing w:before="80" w:after="80"/>
        <w:jc w:val="left"/>
      </w:pPr>
      <w:r>
        <w:rPr>
          <w:rFonts w:ascii="Arial" w:cs="Arial" w:eastAsia="Arial" w:hAnsi="Arial"/>
          <w:b/>
          <w:bCs/>
          <w:i w:val="false"/>
          <w:iCs w:val="false"/>
          <w:color w:val="C9A84C"/>
          <w:sz w:val="22"/>
          <w:szCs w:val="22"/>
        </w:rPr>
        <w:t xml:space="preserve">BURDEN ASYMMETRY</w:t>
      </w:r>
    </w:p>
    <w:p>
      <w:pPr>
        <w:spacing w:before="80" w:after="80"/>
        <w:jc w:val="left"/>
      </w:pPr>
      <w:r>
        <w:rPr>
          <w:rFonts w:ascii="Arial" w:cs="Arial" w:eastAsia="Arial" w:hAnsi="Arial"/>
          <w:b w:val="false"/>
          <w:bCs w:val="false"/>
          <w:i w:val="false"/>
          <w:iCs w:val="false"/>
          <w:color w:val="1A1A1A"/>
          <w:sz w:val="21"/>
          <w:szCs w:val="21"/>
        </w:rPr>
        <w:t xml:space="preserve">The standard of proof applied to the dominant claim is lower than the standard applied to any challenge. You are asked to disprove rather than the claim being required to prove. This is not an intellectual error — it is a structural signature of a maintained system.</w:t>
      </w:r>
    </w:p>
    <w:p>
      <w:pPr>
        <w:spacing w:before="80" w:after="80"/>
        <w:jc w:val="left"/>
      </w:pPr>
      <w:r>
        <w:rPr>
          <w:rFonts w:ascii="Arial" w:cs="Arial" w:eastAsia="Arial" w:hAnsi="Arial"/>
          <w:b w:val="false"/>
          <w:bCs w:val="false"/>
          <w:i/>
          <w:iCs/>
          <w:color w:val="555555"/>
          <w:sz w:val="20"/>
          <w:szCs w:val="20"/>
        </w:rPr>
        <w:t xml:space="preserve">Test: Ask whether the same evidentiary standard is being applied symmetrically. If challenges require certainty while the dominant claim requires only plausibility, asymmetry is confirmed.</w:t>
      </w:r>
    </w:p>
    <w:p>
      <w:pPr>
        <w:spacing w:before="120" w:after="120"/>
      </w:pPr>
      <w:r>
        <w:t xml:space="preserve"/>
      </w:r>
    </w:p>
    <w:p>
      <w:pPr>
        <w:spacing w:before="80" w:after="80"/>
        <w:jc w:val="left"/>
      </w:pPr>
      <w:r>
        <w:rPr>
          <w:rFonts w:ascii="Arial" w:cs="Arial" w:eastAsia="Arial" w:hAnsi="Arial"/>
          <w:b/>
          <w:bCs/>
          <w:i w:val="false"/>
          <w:iCs w:val="false"/>
          <w:color w:val="C9A84C"/>
          <w:sz w:val="22"/>
          <w:szCs w:val="22"/>
        </w:rPr>
        <w:t xml:space="preserve">AUTHORITY SUBSTITUTION</w:t>
      </w:r>
    </w:p>
    <w:p>
      <w:pPr>
        <w:spacing w:before="80" w:after="80"/>
        <w:jc w:val="left"/>
      </w:pPr>
      <w:r>
        <w:rPr>
          <w:rFonts w:ascii="Arial" w:cs="Arial" w:eastAsia="Arial" w:hAnsi="Arial"/>
          <w:b w:val="false"/>
          <w:bCs w:val="false"/>
          <w:i w:val="false"/>
          <w:iCs w:val="false"/>
          <w:color w:val="1A1A1A"/>
          <w:sz w:val="21"/>
          <w:szCs w:val="21"/>
        </w:rPr>
        <w:t xml:space="preserve">Evidence is replaced by the invocation of authority as a terminal endpoint. The authority is not offered as one source among many to be weighed — it is offered as a reason to stop asking. This converts the inquiry from an epistemic process into a social one.</w:t>
      </w:r>
    </w:p>
    <w:p>
      <w:pPr>
        <w:spacing w:before="80" w:after="80"/>
        <w:jc w:val="left"/>
      </w:pPr>
      <w:r>
        <w:rPr>
          <w:rFonts w:ascii="Arial" w:cs="Arial" w:eastAsia="Arial" w:hAnsi="Arial"/>
          <w:b w:val="false"/>
          <w:bCs w:val="false"/>
          <w:i/>
          <w:iCs/>
          <w:color w:val="555555"/>
          <w:sz w:val="20"/>
          <w:szCs w:val="20"/>
        </w:rPr>
        <w:t xml:space="preserve">Test: Ask whether the authority’s position is being used to inform the inquiry or to end it. Legitimate authority welcomes the same Why test as any other claim.</w:t>
      </w:r>
    </w:p>
    <w:p>
      <w:pPr>
        <w:spacing w:before="200" w:after="200"/>
      </w:pPr>
      <w:r>
        <w:t xml:space="preserve"/>
      </w:r>
    </w:p>
    <w:p>
      <w:pPr>
        <w:pBdr>
          <w:bottom w:val="single" w:color="C9A84C" w:sz="6" w:space="1"/>
        </w:pBdr>
        <w:spacing w:before="80" w:after="80"/>
      </w:pPr>
      <w:r>
        <w:t xml:space="preserve"/>
      </w:r>
    </w:p>
    <w:p>
      <w:pPr>
        <w:spacing w:before="100" w:after="100"/>
      </w:pPr>
      <w:r>
        <w:t xml:space="preserve"/>
      </w:r>
    </w:p>
    <w:p>
      <w:pPr>
        <w:shd w:fill="1A1A2E" w:val="clear"/>
        <w:spacing w:before="320" w:after="120"/>
      </w:pPr>
      <w:r>
        <w:rPr>
          <w:rFonts w:ascii="Arial" w:cs="Arial" w:eastAsia="Arial" w:hAnsi="Arial"/>
          <w:b/>
          <w:bCs/>
          <w:color w:val="C9A84C"/>
          <w:sz w:val="26"/>
          <w:szCs w:val="26"/>
        </w:rPr>
        <w:t xml:space="preserve">SECTION 5  |  FIELD APPLICATION NOTES</w:t>
      </w:r>
    </w:p>
    <w:p>
      <w:pPr>
        <w:spacing w:before="80" w:after="80"/>
      </w:pPr>
      <w:r>
        <w:t xml:space="preserve"/>
      </w:r>
    </w:p>
    <w:p>
      <w:pPr>
        <w:spacing w:before="80" w:after="80"/>
        <w:jc w:val="left"/>
      </w:pPr>
      <w:r>
        <w:rPr>
          <w:rFonts w:ascii="Arial" w:cs="Arial" w:eastAsia="Arial" w:hAnsi="Arial"/>
          <w:b w:val="false"/>
          <w:bCs w:val="false"/>
          <w:i w:val="false"/>
          <w:iCs w:val="false"/>
          <w:color w:val="1A1A1A"/>
          <w:sz w:val="21"/>
          <w:szCs w:val="21"/>
        </w:rPr>
        <w:t xml:space="preserve">The test applies to any domain: media reports, institutional claims, policy assertions, theological arguments, financial advice, scientific consensus statements, or any other claim presented as authoritative.</w:t>
      </w:r>
    </w:p>
    <w:p>
      <w:pPr>
        <w:spacing w:before="120" w:after="120"/>
      </w:pPr>
      <w:r>
        <w:t xml:space="preserve"/>
      </w:r>
    </w:p>
    <w:p>
      <w:pPr>
        <w:spacing w:before="80" w:after="80"/>
        <w:jc w:val="left"/>
      </w:pPr>
      <w:r>
        <w:rPr>
          <w:rFonts w:ascii="Arial" w:cs="Arial" w:eastAsia="Arial" w:hAnsi="Arial"/>
          <w:b/>
          <w:bCs/>
          <w:i w:val="false"/>
          <w:iCs w:val="false"/>
          <w:color w:val="1A1A1A"/>
          <w:sz w:val="22"/>
          <w:szCs w:val="22"/>
        </w:rPr>
        <w:t xml:space="preserve">Critical operating principles:</w:t>
      </w:r>
    </w:p>
    <w:p>
      <w:pPr>
        <w:spacing w:before="60" w:after="60"/>
      </w:pPr>
      <w:r>
        <w:t xml:space="preserve"/>
      </w:r>
    </w:p>
    <w:p>
      <w:pPr>
        <w:pStyle w:val="ListParagraph"/>
        <w:numPr>
          <w:ilvl w:val="0"/>
          <w:numId w:val="3"/>
        </w:numPr>
        <w:spacing w:before="80" w:after="80"/>
      </w:pPr>
      <w:r>
        <w:rPr>
          <w:rFonts w:ascii="Arial" w:cs="Arial" w:eastAsia="Arial" w:hAnsi="Arial"/>
          <w:sz w:val="21"/>
          <w:szCs w:val="21"/>
        </w:rPr>
        <w:t xml:space="preserve">You are testing structure, not content. A claim can be false and still show Bedrock structure if it is honestly held and openly reasoned. A claim can be true and still show Sand structure if it is being defended through maintenance rather than logic.</w:t>
      </w:r>
    </w:p>
    <w:p>
      <w:pPr>
        <w:pStyle w:val="ListParagraph"/>
        <w:numPr>
          <w:ilvl w:val="0"/>
          <w:numId w:val="3"/>
        </w:numPr>
        <w:spacing w:before="80" w:after="80"/>
      </w:pPr>
      <w:r>
        <w:rPr>
          <w:rFonts w:ascii="Arial" w:cs="Arial" w:eastAsia="Arial" w:hAnsi="Arial"/>
          <w:sz w:val="21"/>
          <w:szCs w:val="21"/>
        </w:rPr>
        <w:t xml:space="preserve">The test does not require you to win an argument. It requires you to observe the structure of how a claim defends itself.</w:t>
      </w:r>
    </w:p>
    <w:p>
      <w:pPr>
        <w:pStyle w:val="ListParagraph"/>
        <w:numPr>
          <w:ilvl w:val="0"/>
          <w:numId w:val="3"/>
        </w:numPr>
        <w:spacing w:before="80" w:after="80"/>
      </w:pPr>
      <w:r>
        <w:rPr>
          <w:rFonts w:ascii="Arial" w:cs="Arial" w:eastAsia="Arial" w:hAnsi="Arial"/>
          <w:sz w:val="21"/>
          <w:szCs w:val="21"/>
        </w:rPr>
        <w:t xml:space="preserve">Apply the test to your own beliefs first. Bedrock does not fear examination. If your beliefs are structurally sound, the test confirms them. If they show Sand signatures, the test is serving you.</w:t>
      </w:r>
    </w:p>
    <w:p>
      <w:pPr>
        <w:pStyle w:val="ListParagraph"/>
        <w:numPr>
          <w:ilvl w:val="0"/>
          <w:numId w:val="3"/>
        </w:numPr>
        <w:spacing w:before="80" w:after="80"/>
      </w:pPr>
      <w:r>
        <w:rPr>
          <w:rFonts w:ascii="Arial" w:cs="Arial" w:eastAsia="Arial" w:hAnsi="Arial"/>
          <w:sz w:val="21"/>
          <w:szCs w:val="21"/>
        </w:rPr>
        <w:t xml:space="preserve">Document your findings. A single observation is anecdote. A pattern across multiple applications is evidence.</w:t>
      </w:r>
    </w:p>
    <w:p>
      <w:pPr>
        <w:spacing w:before="200" w:after="200"/>
      </w:pPr>
      <w:r>
        <w:t xml:space="preserve"/>
      </w:r>
    </w:p>
    <w:p>
      <w:pPr>
        <w:pBdr>
          <w:bottom w:val="single" w:color="C9A84C" w:sz="6" w:space="1"/>
        </w:pBdr>
        <w:spacing w:before="80" w:after="80"/>
      </w:pPr>
      <w:r>
        <w:t xml:space="preserve"/>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4"/>
              <w:left w:val="single" w:color="C9A84C" w:sz="4"/>
              <w:bottom w:val="single" w:color="C9A84C" w:sz="4"/>
              <w:right w:val="single" w:color="C9A84C" w:sz="4"/>
            </w:tcBorders>
            <w:shd w:fill="1A1A2E" w:val="clear"/>
            <w:tcMar>
              <w:top w:type="dxa" w:w="320"/>
              <w:left w:type="dxa" w:w="400"/>
              <w:bottom w:type="dxa" w:w="320"/>
              <w:right w:type="dxa" w:w="400"/>
            </w:tcMar>
          </w:tcPr>
          <w:p>
            <w:pPr>
              <w:spacing w:before="0" w:after="120"/>
              <w:jc w:val="center"/>
            </w:pPr>
            <w:r>
              <w:rPr>
                <w:rFonts w:ascii="Arial" w:cs="Arial" w:eastAsia="Arial" w:hAnsi="Arial"/>
                <w:b/>
                <w:bCs/>
                <w:color w:val="C9A84C"/>
                <w:sz w:val="32"/>
                <w:szCs w:val="32"/>
              </w:rPr>
              <w:t xml:space="preserve">The Law</w:t>
            </w:r>
          </w:p>
          <w:p>
            <w:pPr>
              <w:spacing w:before="0" w:after="60"/>
              <w:jc w:val="center"/>
            </w:pPr>
            <w:r>
              <w:rPr>
                <w:rFonts w:ascii="Arial" w:cs="Arial" w:eastAsia="Arial" w:hAnsi="Arial"/>
                <w:b/>
                <w:bCs/>
                <w:color w:val="FFFFFF"/>
                <w:sz w:val="26"/>
                <w:szCs w:val="26"/>
              </w:rPr>
              <w:t xml:space="preserve">Truth is a gift you receive.</w:t>
            </w:r>
          </w:p>
          <w:p>
            <w:pPr>
              <w:spacing w:before="0" w:after="160"/>
              <w:jc w:val="center"/>
            </w:pPr>
            <w:r>
              <w:rPr>
                <w:rFonts w:ascii="Arial" w:cs="Arial" w:eastAsia="Arial" w:hAnsi="Arial"/>
                <w:color w:val="CCCCCC"/>
                <w:sz w:val="26"/>
                <w:szCs w:val="26"/>
              </w:rPr>
              <w:t xml:space="preserve">A narrative is a burden you are forced to carry.</w:t>
            </w:r>
          </w:p>
          <w:p>
            <w:pPr>
              <w:spacing w:before="0" w:after="60"/>
              <w:jc w:val="center"/>
            </w:pPr>
            <w:r>
              <w:rPr>
                <w:rFonts w:ascii="Arial" w:cs="Arial" w:eastAsia="Arial" w:hAnsi="Arial"/>
                <w:color w:val="F5EDD6"/>
                <w:sz w:val="21"/>
                <w:szCs w:val="21"/>
              </w:rPr>
              <w:t xml:space="preserve">If the weight of proof is on the Truth — you are standing on Bedrock.</w:t>
            </w:r>
          </w:p>
          <w:p>
            <w:pPr>
              <w:spacing w:before="0" w:after="80"/>
              <w:jc w:val="center"/>
            </w:pPr>
            <w:r>
              <w:rPr>
                <w:rFonts w:ascii="Arial" w:cs="Arial" w:eastAsia="Arial" w:hAnsi="Arial"/>
                <w:color w:val="AAAAAA"/>
                <w:sz w:val="21"/>
                <w:szCs w:val="21"/>
              </w:rPr>
              <w:t xml:space="preserve">If the weight of proof is on You — you are standing in a cage.</w:t>
            </w:r>
          </w:p>
        </w:tc>
      </w:tr>
    </w:tbl>
    <w:p>
      <w:pPr>
        <w:spacing w:before="160" w:after="160"/>
      </w:pPr>
      <w:r>
        <w:t xml:space="preserve"/>
      </w:r>
    </w:p>
    <w:p>
      <w:pPr>
        <w:spacing w:before="80" w:after="80"/>
        <w:jc w:val="center"/>
      </w:pPr>
      <w:r>
        <w:rPr>
          <w:rFonts w:ascii="Arial" w:cs="Arial" w:eastAsia="Arial" w:hAnsi="Arial"/>
          <w:color w:val="888888"/>
          <w:sz w:val="18"/>
          <w:szCs w:val="18"/>
        </w:rPr>
        <w:t xml:space="preserve">The Bedrock Program  ·  Independent Structural Research  ·  2026</w:t>
      </w:r>
    </w:p>
    <w:sectPr>
      <w:footerReference w:type="default" r:id="rId6"/>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4C" w:sz="4" w:space="1"/>
      </w:pBdr>
      <w:spacing w:before="80" w:after="40"/>
      <w:jc w:val="center"/>
    </w:pPr>
    <w:r>
      <w:rPr>
        <w:rFonts w:ascii="Arial" w:cs="Arial" w:eastAsia="Arial" w:hAnsi="Arial"/>
        <w:color w:val="888888"/>
        <w:sz w:val="17"/>
        <w:szCs w:val="17"/>
      </w:rPr>
      <w:t xml:space="preserve">Produced by NohMad LLC  |  The Bedrock Research Team  |  Research Output v1.0</w:t>
    </w:r>
  </w:p>
  <w:p>
    <w:pPr>
      <w:spacing w:before="0" w:after="40"/>
      <w:jc w:val="center"/>
    </w:pPr>
    <w:r>
      <w:rPr>
        <w:rFonts w:ascii="Arial" w:cs="Arial" w:eastAsia="Arial" w:hAnsi="Arial"/>
        <w:color w:val="888888"/>
        <w:sz w:val="17"/>
        <w:szCs w:val="17"/>
      </w:rPr>
      <w:t xml:space="preserve">Invariant Source: </w:t>
    </w:r>
    <w:r>
      <w:rPr>
        <w:rFonts w:ascii="Arial" w:cs="Arial" w:eastAsia="Arial" w:hAnsi="Arial"/>
        <w:color w:val="C9A84C"/>
        <w:sz w:val="17"/>
        <w:szCs w:val="17"/>
      </w:rPr>
      <w:t xml:space="preserve">github.com/The-Bedrock-Project/bedrock-program</w:t>
    </w:r>
    <w:r>
      <w:rPr>
        <w:rFonts w:ascii="Arial" w:cs="Arial" w:eastAsia="Arial" w:hAnsi="Arial"/>
        <w:color w:val="888888"/>
        <w:sz w:val="17"/>
        <w:szCs w:val="17"/>
      </w:rPr>
      <w:t xml:space="preserve">  |  Consistency is Law. Selection is the Closure.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2026-03-04T19:10:47.244Z</dcterms:created>
  <dcterms:modified xsi:type="dcterms:W3CDTF">2026-03-04T19:10:47.245Z</dcterms:modified>
</cp:coreProperties>
</file>

<file path=docProps/custom.xml><?xml version="1.0" encoding="utf-8"?>
<Properties xmlns="http://schemas.openxmlformats.org/officeDocument/2006/custom-properties" xmlns:vt="http://schemas.openxmlformats.org/officeDocument/2006/docPropsVTypes"/>
</file>