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INDELs</w:t>
      </w:r>
      <w:r>
        <w:t xml:space="preserve"> </w:t>
      </w:r>
      <w:r>
        <w:t xml:space="preserve">as</w:t>
      </w:r>
      <w:r>
        <w:t xml:space="preserve"> </w:t>
      </w:r>
      <w:r>
        <w:t xml:space="preserve">genetic</w:t>
      </w:r>
      <w:r>
        <w:t xml:space="preserve"> </w:t>
      </w:r>
      <w:r>
        <w:t xml:space="preserve">markers</w:t>
      </w:r>
      <w:r>
        <w:t xml:space="preserve"> </w:t>
      </w:r>
      <w:r>
        <w:t xml:space="preserve">for</w:t>
      </w:r>
      <w:r>
        <w:t xml:space="preserve"> </w:t>
      </w:r>
      <w:r>
        <w:t xml:space="preserve">local</w:t>
      </w:r>
      <w:r>
        <w:t xml:space="preserve"> </w:t>
      </w:r>
      <w:r>
        <w:t xml:space="preserve">adaptation</w:t>
      </w:r>
    </w:p>
    <w:p>
      <w:pPr>
        <w:pStyle w:val="Author"/>
      </w:pPr>
      <w:r>
        <w:t xml:space="preserve">Samuel</w:t>
      </w:r>
      <w:r>
        <w:t xml:space="preserve"> </w:t>
      </w:r>
      <w:r>
        <w:t xml:space="preserve">Perini</w:t>
      </w:r>
      <w:r>
        <w:t xml:space="preserve"> </w:t>
      </w:r>
      <w:r>
        <w:t xml:space="preserve">et</w:t>
      </w:r>
      <w:r>
        <w:t xml:space="preserve"> </w:t>
      </w:r>
      <w:r>
        <w:t xml:space="preserve">al.</w:t>
      </w:r>
    </w:p>
    <w:p>
      <w:pPr>
        <w:pStyle w:val="Date"/>
      </w:pPr>
      <w:r>
        <w:t xml:space="preserve">6th</w:t>
      </w:r>
      <w:r>
        <w:t xml:space="preserve"> </w:t>
      </w:r>
      <w:r>
        <w:t xml:space="preserve">September</w:t>
      </w:r>
      <w:r>
        <w:t xml:space="preserve"> </w:t>
      </w:r>
      <w:r>
        <w:t xml:space="preserve">2019</w:t>
      </w:r>
    </w:p>
    <w:p>
      <w:pPr>
        <w:pStyle w:val="Heading1"/>
      </w:pPr>
      <w:bookmarkStart w:id="20" w:name="background"/>
      <w:r>
        <w:t xml:space="preserve">Background</w:t>
      </w:r>
      <w:bookmarkEnd w:id="20"/>
    </w:p>
    <w:p>
      <w:pPr>
        <w:numPr>
          <w:numId w:val="1001"/>
          <w:ilvl w:val="0"/>
        </w:numPr>
      </w:pPr>
      <w:r>
        <w:t xml:space="preserve">Mutations are changes in the nucleotide sequence of the DNA and without them evolution will not exist because there will be no genetic variation for genetic drift and natural selection to act upon. Mutations occur in different sizes and as they go from one base to (size of the longest variant), their contribution to genetic diversity increases as well as their potential to decrease fitness of the individuals carrying the mutation. Accordingly, different species and also alternative forms of the same species (ecotypes) have been found to differ for a greater number of single nucleotides than for long structural variants. The explanation behind this observation is almost intuitive, large modifications to a functional system are more likely to cause damage than small ones and thus, they will occur at lower frequency</w:t>
      </w:r>
      <w:r>
        <w:t xml:space="preserve"> </w:t>
      </w:r>
      <w:r>
        <w:t xml:space="preserve">(Massouras et al. 2012)</w:t>
      </w:r>
      <w:r>
        <w:t xml:space="preserve">. However, there are examples of non-SNP variants with positive effects such as …</w:t>
      </w:r>
      <w:r>
        <w:t xml:space="preserve"> </w:t>
      </w:r>
      <w:r>
        <w:t xml:space="preserve">(human unique traits Chen et al. 2007 and others in specialissuesvs)</w:t>
      </w:r>
      <w:r>
        <w:t xml:space="preserve">.</w:t>
      </w:r>
      <w:r>
        <w:br/>
      </w:r>
      <w:r>
        <w:t xml:space="preserve">Originally, mutations were detected using (first method of variant calling) and now, after the emergence of high-throughput and next-generation sequencing technologies, it is affordable to scan whole genomes in search for different types of mutations. Single nucleotide polymorphisms (SNPs) have been primary targets of genetic and genomic analyses that aimed to … (applications for SNPs</w:t>
      </w:r>
      <w:r>
        <w:t xml:space="preserve"> </w:t>
      </w:r>
      <w:r>
        <w:t xml:space="preserve">(Chen et al. 2009; Brumfield et al. 2003; Morin et al. 2004)</w:t>
      </w:r>
      <w:r>
        <w:t xml:space="preserve">). Few studies have also expanded their analysis to other types of genetic variants in order to establish a more extensive catalog of genomic variation for the inverstigation of patterns of evolutionary change [specialissuesvs]. For example, short insertions and deletions (INDELs</w:t>
      </w:r>
      <w:r>
        <w:t xml:space="preserve"> </w:t>
      </w:r>
      <m:oMath>
        <m:r>
          <m:t>≤</m:t>
        </m:r>
      </m:oMath>
      <w:r>
        <w:t xml:space="preserve"> </w:t>
      </w:r>
      <w:r>
        <w:t xml:space="preserve">50 bp) …</w:t>
      </w:r>
      <w:r>
        <w:t xml:space="preserve"> </w:t>
      </w:r>
      <w:r>
        <w:t xml:space="preserve">(Chen et al. 2009; Barton and Zeng 2019)</w:t>
      </w:r>
      <w:r>
        <w:t xml:space="preserve">. Therefore, evolutionary geneticists have already acknowledged the role of INDELs in …</w:t>
      </w:r>
      <w:r>
        <w:t xml:space="preserve"> </w:t>
      </w:r>
      <w:r>
        <w:t xml:space="preserve">(Chen et al. 2009)</w:t>
      </w:r>
      <w:r>
        <w:t xml:space="preserve"> </w:t>
      </w:r>
      <w:r>
        <w:t xml:space="preserve">but our knowledge is still limited to a few model species.</w:t>
      </w:r>
    </w:p>
    <w:p>
      <w:pPr>
        <w:numPr>
          <w:numId w:val="1001"/>
          <w:ilvl w:val="0"/>
        </w:numPr>
      </w:pPr>
      <w:r>
        <w:t xml:space="preserve">Studies on humans</w:t>
      </w:r>
      <w:r>
        <w:t xml:space="preserve"> </w:t>
      </w:r>
      <w:r>
        <w:t xml:space="preserve">(Consortium and others 2010)</w:t>
      </w:r>
      <w:r>
        <w:t xml:space="preserve"> </w:t>
      </w:r>
      <w:r>
        <w:t xml:space="preserve">… and other model species</w:t>
      </w:r>
      <w:r>
        <w:t xml:space="preserve"> </w:t>
      </w:r>
      <w:r>
        <w:t xml:space="preserve">(livestock Kang et al. 2015)</w:t>
      </w:r>
      <w:r>
        <w:t xml:space="preserve">… were the first ones to assess INDEL variation and they were also the first ones to have encountered the challenges associated with INDEL discovery</w:t>
      </w:r>
      <w:r>
        <w:t xml:space="preserve"> </w:t>
      </w:r>
      <w:r>
        <w:t xml:space="preserve">(Väli et al. 2008; Onishi-Seebacher and Korbel 2011)</w:t>
      </w:r>
      <w:r>
        <w:t xml:space="preserve">. Mapping algorithms deal poorly with long INDELs and with repeated motifs</w:t>
      </w:r>
      <w:r>
        <w:t xml:space="preserve"> </w:t>
      </w:r>
      <w:r>
        <w:t xml:space="preserve">(Narzisi and Schatz 2015)</w:t>
      </w:r>
      <w:r>
        <w:t xml:space="preserve">. False-negatives and false-positives can be generated when coverage distribution is not uniform or the efficiency of targeted resequencing is not even across the queried genomic regions</w:t>
      </w:r>
      <w:r>
        <w:t xml:space="preserve"> </w:t>
      </w:r>
      <w:r>
        <w:t xml:space="preserve">(Fang et al. 2016)</w:t>
      </w:r>
      <w:r>
        <w:t xml:space="preserve">. Currently, the best practice is to …</w:t>
      </w:r>
      <w:r>
        <w:t xml:space="preserve"> </w:t>
      </w:r>
      <w:r>
        <w:t xml:space="preserve">(GATK best practice; Li et al. 2018 and more)</w:t>
      </w:r>
      <w:r>
        <w:t xml:space="preserve">.</w:t>
      </w:r>
    </w:p>
    <w:p>
      <w:pPr>
        <w:numPr>
          <w:numId w:val="1001"/>
          <w:ilvl w:val="0"/>
        </w:numPr>
      </w:pPr>
      <w:r>
        <w:t xml:space="preserve">Calling INDELs and SNPs have revealed the tendency for these variants to form clusters along the genome and for this reason combining INDELs and SNPs can increase the power to analyse a certain evolutionary pattern</w:t>
      </w:r>
      <w:r>
        <w:t xml:space="preserve"> </w:t>
      </w:r>
      <w:r>
        <w:t xml:space="preserve">(Huang et al. 2014 for a list of studies about SNPs and INDELs clustering)</w:t>
      </w:r>
      <w:r>
        <w:t xml:space="preserve">. The major histocompatibility complex in birds is one example where an excess of non-synonymous substitutions corresponded to an increase in frequency of deletions</w:t>
      </w:r>
      <w:r>
        <w:t xml:space="preserve"> </w:t>
      </w:r>
      <w:r>
        <w:t xml:space="preserve">(Minias et al. 2018)</w:t>
      </w:r>
      <w:r>
        <w:t xml:space="preserve">. Other examples involve …</w:t>
      </w:r>
      <w:r>
        <w:t xml:space="preserve"> </w:t>
      </w:r>
      <w:r>
        <w:t xml:space="preserve">(swine Kang et al. 2015; fruit fly Huang et al. 2014)</w:t>
      </w:r>
      <w:r>
        <w:t xml:space="preserve">. The co-occurrence of SNPs and INDELs along the genome can be a consequence of three different mechanisms</w:t>
      </w:r>
      <w:r>
        <w:t xml:space="preserve"> </w:t>
      </w:r>
      <w:r>
        <w:t xml:space="preserve">(Huang et al. 2014)</w:t>
      </w:r>
      <w:r>
        <w:t xml:space="preserve">. The eukaryote genome contains mutation hotspots where the occurrence of an INDEL may have increased the rate of nucleotide substitution in its sorrounding</w:t>
      </w:r>
      <w:r>
        <w:t xml:space="preserve"> </w:t>
      </w:r>
      <w:r>
        <w:t xml:space="preserve">(Tian et al. 2008)</w:t>
      </w:r>
      <w:r>
        <w:t xml:space="preserve">. The numerous forms of the major histocompatibility complex in vertebrates might have originated under this mechanism</w:t>
      </w:r>
      <w:r>
        <w:t xml:space="preserve"> </w:t>
      </w:r>
      <w:r>
        <w:t xml:space="preserve">(Minias et al. 2018)</w:t>
      </w:r>
      <w:r>
        <w:t xml:space="preserve">.</w:t>
      </w:r>
      <w:r>
        <w:br/>
      </w:r>
      <w:r>
        <w:t xml:space="preserve">On the other hand, INDEL variation can carry unique information on how different species or distinct populations of the same species have evolved diverse genomes</w:t>
      </w:r>
      <w:r>
        <w:t xml:space="preserve"> </w:t>
      </w:r>
      <w:r>
        <w:t xml:space="preserve">(Gregory 2004)</w:t>
      </w:r>
      <w:r>
        <w:t xml:space="preserve">. In fact, INDELs are typically employed in studies of genome evolution because …</w:t>
      </w:r>
      <w:r>
        <w:t xml:space="preserve"> </w:t>
      </w:r>
      <w:r>
        <w:t xml:space="preserve">(Barton and Zeng 2018, 2019; hollister2009; Petrov et al. 2000; Huang et al. 2014 but see</w:t>
      </w:r>
      <w:r>
        <w:t xml:space="preserve"> </w:t>
      </w:r>
      <w:r>
        <w:t xml:space="preserve">@ellis2014</w:t>
      </w:r>
      <w:r>
        <w:t xml:space="preserve">)</w:t>
      </w:r>
      <w:r>
        <w:t xml:space="preserve">. Furthermore, there is evidence for INDELs to have induced the development of human specific traits</w:t>
      </w:r>
      <w:r>
        <w:t xml:space="preserve"> </w:t>
      </w:r>
      <w:r>
        <w:t xml:space="preserve">(Chen et al. 2007)</w:t>
      </w:r>
      <w:r>
        <w:t xml:space="preserve"> </w:t>
      </w:r>
      <w:r>
        <w:t xml:space="preserve">and contributed to phenotypic variance in the fission yeast by interfering at the gene regulatory level</w:t>
      </w:r>
      <w:r>
        <w:t xml:space="preserve"> </w:t>
      </w:r>
      <w:r>
        <w:t xml:space="preserve">(Jeffares et al. 2015)</w:t>
      </w:r>
      <w:r>
        <w:t xml:space="preserve">.</w:t>
      </w:r>
    </w:p>
    <w:p>
      <w:pPr>
        <w:numPr>
          <w:numId w:val="1001"/>
          <w:ilvl w:val="0"/>
        </w:numPr>
      </w:pPr>
      <w:r>
        <w:t xml:space="preserve">SNP-based study in</w:t>
      </w:r>
      <w:r>
        <w:t xml:space="preserve"> </w:t>
      </w:r>
      <w:r>
        <w:rPr>
          <w:i/>
        </w:rPr>
        <w:t xml:space="preserve">Littorina saxatilis</w:t>
      </w:r>
      <w:r>
        <w:t xml:space="preserve">, species biology and results.</w:t>
      </w:r>
    </w:p>
    <w:p>
      <w:pPr>
        <w:pStyle w:val="Heading1"/>
      </w:pPr>
      <w:bookmarkStart w:id="21" w:name="questions"/>
      <w:r>
        <w:t xml:space="preserve">Questions</w:t>
      </w:r>
      <w:bookmarkEnd w:id="21"/>
    </w:p>
    <w:p>
      <w:pPr>
        <w:pStyle w:val="FirstParagraph"/>
      </w:pPr>
      <w:r>
        <w:t xml:space="preserve">Can short INDELs be used as genetic markers for patterns of local adaptation? How does INDEL variation differ from SNP variation in</w:t>
      </w:r>
      <w:r>
        <w:t xml:space="preserve"> </w:t>
      </w:r>
      <w:r>
        <w:rPr>
          <w:i/>
        </w:rPr>
        <w:t xml:space="preserve">L. saxatilis</w:t>
      </w:r>
      <w:r>
        <w:t xml:space="preserve"> </w:t>
      </w:r>
      <w:r>
        <w:t xml:space="preserve">(correlation and AFS of annotated variants)? Are non-synonymous SNPs flanked by frameshift INDELs (epistasis)?</w:t>
      </w:r>
    </w:p>
    <w:p>
      <w:pPr>
        <w:pStyle w:val="Heading1"/>
      </w:pPr>
      <w:bookmarkStart w:id="22" w:name="hypothesis"/>
      <w:r>
        <w:t xml:space="preserve">Hypothesis</w:t>
      </w:r>
      <w:bookmarkEnd w:id="22"/>
    </w:p>
    <w:p>
      <w:pPr>
        <w:pStyle w:val="FirstParagraph"/>
      </w:pPr>
      <w:r>
        <w:t xml:space="preserve">Nucleotide divergence between closely related species can be composed of a higher percentage of short INDELs than SNPs</w:t>
      </w:r>
      <w:r>
        <w:t xml:space="preserve"> </w:t>
      </w:r>
      <w:r>
        <w:t xml:space="preserve">(Britten 2002)</w:t>
      </w:r>
      <w:r>
        <w:t xml:space="preserve"> </w:t>
      </w:r>
      <w:r>
        <w:t xml:space="preserve">and the same pattern might be found between two locally adapted populations of the same species. Detecting INDELs can reveal additional evolutionary patterns that can strengthen the evidence from SNP-based analyses.</w:t>
      </w:r>
    </w:p>
    <w:p>
      <w:pPr>
        <w:pStyle w:val="Heading1"/>
      </w:pPr>
      <w:bookmarkStart w:id="23" w:name="materials-and-methods"/>
      <w:r>
        <w:t xml:space="preserve">Materials and methods</w:t>
      </w:r>
      <w:bookmarkEnd w:id="23"/>
    </w:p>
    <w:p>
      <w:pPr>
        <w:pStyle w:val="FirstParagraph"/>
      </w:pPr>
      <w:r>
        <w:t xml:space="preserve">Called variants including outgroup as this allows to polarise those mutations that are fixed between species and polymorphic between ecotypes of the same species.</w:t>
      </w:r>
    </w:p>
    <w:p>
      <w:pPr>
        <w:pStyle w:val="BodyText"/>
      </w:pPr>
      <w:r>
        <w:t xml:space="preserve">TODO:</w:t>
      </w:r>
      <w:r>
        <w:br/>
      </w:r>
      <w:r>
        <w:t xml:space="preserve">Phasing data using pair-end reads to obtain haplotype sequences and be able to measure haplotype diversity. Mutations are expected to accumulate nearby frameshift INDEL if this is beneficial (shelter load).</w:t>
      </w:r>
    </w:p>
    <w:p>
      <w:pPr>
        <w:pStyle w:val="Heading1"/>
      </w:pPr>
      <w:bookmarkStart w:id="24" w:name="references"/>
      <w:r>
        <w:t xml:space="preserve">References</w:t>
      </w:r>
      <w:bookmarkEnd w:id="24"/>
    </w:p>
    <w:bookmarkStart w:id="47" w:name="refs"/>
    <w:bookmarkStart w:id="25" w:name="ref-bartonandzeng2018"/>
    <w:p>
      <w:pPr>
        <w:pStyle w:val="Bibliography"/>
      </w:pPr>
      <w:r>
        <w:t xml:space="preserve">Barton, Henry J, and Kai Zeng. 2018. “New Methods for Inferring the Distribution of Fitness Effects for Indels and Snps.”</w:t>
      </w:r>
      <w:r>
        <w:t xml:space="preserve"> </w:t>
      </w:r>
      <w:r>
        <w:rPr>
          <w:i/>
        </w:rPr>
        <w:t xml:space="preserve">Molecular Biology and Evolution</w:t>
      </w:r>
      <w:r>
        <w:t xml:space="preserve"> </w:t>
      </w:r>
      <w:r>
        <w:t xml:space="preserve">35 (6): 1536–46.</w:t>
      </w:r>
    </w:p>
    <w:bookmarkEnd w:id="25"/>
    <w:bookmarkStart w:id="26" w:name="ref-bartonandzeng2019"/>
    <w:p>
      <w:pPr>
        <w:pStyle w:val="Bibliography"/>
      </w:pPr>
      <w:r>
        <w:t xml:space="preserve">———. 2019. “The Impact of Natural Selection on Short Insertion and Deletion Variation in the Great Tit Genome.”</w:t>
      </w:r>
      <w:r>
        <w:t xml:space="preserve"> </w:t>
      </w:r>
      <w:r>
        <w:rPr>
          <w:i/>
        </w:rPr>
        <w:t xml:space="preserve">Genome Biology and Evolution</w:t>
      </w:r>
      <w:r>
        <w:t xml:space="preserve"> </w:t>
      </w:r>
      <w:r>
        <w:t xml:space="preserve">11 (6): 1514–24.</w:t>
      </w:r>
    </w:p>
    <w:bookmarkEnd w:id="26"/>
    <w:bookmarkStart w:id="27" w:name="ref-britten2002"/>
    <w:p>
      <w:pPr>
        <w:pStyle w:val="Bibliography"/>
      </w:pPr>
      <w:r>
        <w:t xml:space="preserve">Britten, Roy J. 2002. “Divergence Between Samples of Chimpanzee and Human Dna Sequences Is 5%, Counting Indels.”</w:t>
      </w:r>
      <w:r>
        <w:t xml:space="preserve"> </w:t>
      </w:r>
      <w:r>
        <w:rPr>
          <w:i/>
        </w:rPr>
        <w:t xml:space="preserve">Proceedings of the National Academy of Sciences</w:t>
      </w:r>
      <w:r>
        <w:t xml:space="preserve"> </w:t>
      </w:r>
      <w:r>
        <w:t xml:space="preserve">99 (21): 13633–5.</w:t>
      </w:r>
    </w:p>
    <w:bookmarkEnd w:id="27"/>
    <w:bookmarkStart w:id="28" w:name="ref-brumfield2003"/>
    <w:p>
      <w:pPr>
        <w:pStyle w:val="Bibliography"/>
      </w:pPr>
      <w:r>
        <w:t xml:space="preserve">Brumfield, Robb T, Peter Beerli, Deborah A Nickerson, and Scott V Edwards. 2003. “The Utility of Single Nucleotide Polymorphisms in Inferences of Population History.”</w:t>
      </w:r>
      <w:r>
        <w:t xml:space="preserve"> </w:t>
      </w:r>
      <w:r>
        <w:rPr>
          <w:i/>
        </w:rPr>
        <w:t xml:space="preserve">Trends in Ecology &amp; Evolution</w:t>
      </w:r>
      <w:r>
        <w:t xml:space="preserve"> </w:t>
      </w:r>
      <w:r>
        <w:t xml:space="preserve">18 (5): 249–56.</w:t>
      </w:r>
    </w:p>
    <w:bookmarkEnd w:id="28"/>
    <w:bookmarkStart w:id="29" w:name="ref-chen2007"/>
    <w:p>
      <w:pPr>
        <w:pStyle w:val="Bibliography"/>
      </w:pPr>
      <w:r>
        <w:t xml:space="preserve">Chen, Feng-Chi, Chueng-Jong Chen, Wen-Hsiung Li, and Trees-Juen Chuang. 2007. “Human-Specific Insertions and Deletions Inferred from Mammalian Genome Sequences.”</w:t>
      </w:r>
      <w:r>
        <w:t xml:space="preserve"> </w:t>
      </w:r>
      <w:r>
        <w:rPr>
          <w:i/>
        </w:rPr>
        <w:t xml:space="preserve">Genome Research</w:t>
      </w:r>
      <w:r>
        <w:t xml:space="preserve"> </w:t>
      </w:r>
      <w:r>
        <w:t xml:space="preserve">17 (1): 16–22.</w:t>
      </w:r>
    </w:p>
    <w:bookmarkEnd w:id="29"/>
    <w:bookmarkStart w:id="30" w:name="ref-chen2009"/>
    <w:p>
      <w:pPr>
        <w:pStyle w:val="Bibliography"/>
      </w:pPr>
      <w:r>
        <w:t xml:space="preserve">Chen, Jian-Qun, Ying Wu, Haiwang Yang, Joy Bergelson, Martin Kreitman, and Dacheng Tian. 2009. “Variation in the Ratio of Nucleotide Substitution and Indel Rates Across Genomes in Mammals and Bacteria.”</w:t>
      </w:r>
      <w:r>
        <w:t xml:space="preserve"> </w:t>
      </w:r>
      <w:r>
        <w:rPr>
          <w:i/>
        </w:rPr>
        <w:t xml:space="preserve">Molecular Biology and Evolution</w:t>
      </w:r>
      <w:r>
        <w:t xml:space="preserve"> </w:t>
      </w:r>
      <w:r>
        <w:t xml:space="preserve">26 (7): 1523–31.</w:t>
      </w:r>
    </w:p>
    <w:bookmarkEnd w:id="30"/>
    <w:bookmarkStart w:id="31" w:name="ref-10002010"/>
    <w:p>
      <w:pPr>
        <w:pStyle w:val="Bibliography"/>
      </w:pPr>
      <w:r>
        <w:t xml:space="preserve">Consortium, 1000 Genomes Project, and others. 2010. “A Map of Human Genome Variation from Population-Scale Sequencing.”</w:t>
      </w:r>
      <w:r>
        <w:t xml:space="preserve"> </w:t>
      </w:r>
      <w:r>
        <w:rPr>
          <w:i/>
        </w:rPr>
        <w:t xml:space="preserve">Nature</w:t>
      </w:r>
      <w:r>
        <w:t xml:space="preserve"> </w:t>
      </w:r>
      <w:r>
        <w:t xml:space="preserve">467 (7319): 1061.</w:t>
      </w:r>
    </w:p>
    <w:bookmarkEnd w:id="31"/>
    <w:bookmarkStart w:id="32" w:name="ref-ellis2014"/>
    <w:p>
      <w:pPr>
        <w:pStyle w:val="Bibliography"/>
      </w:pPr>
      <w:r>
        <w:t xml:space="preserve">Ellis, Lisa L, Wen Huang, Andrew M Quinn, Astha Ahuja, Ben Alfrejd, Francisco E Gomez, Carl E Hjelmen, et al. 2014. “Intrapopulation Genome Size Variation in d. Melanogaster Reflects Life History Variation and Plasticity.”</w:t>
      </w:r>
      <w:r>
        <w:t xml:space="preserve"> </w:t>
      </w:r>
      <w:r>
        <w:rPr>
          <w:i/>
        </w:rPr>
        <w:t xml:space="preserve">PLoS Genetics</w:t>
      </w:r>
      <w:r>
        <w:t xml:space="preserve"> </w:t>
      </w:r>
      <w:r>
        <w:t xml:space="preserve">10 (7): e1004522.</w:t>
      </w:r>
    </w:p>
    <w:bookmarkEnd w:id="32"/>
    <w:bookmarkStart w:id="33" w:name="ref-fang2016"/>
    <w:p>
      <w:pPr>
        <w:pStyle w:val="Bibliography"/>
      </w:pPr>
      <w:r>
        <w:t xml:space="preserve">Fang, Han, Ewa A Bergmann, Kanika Arora, Vladimir Vacic, Michael C Zody, Ivan Iossifov, Jason A O’Rawe, et al. 2016. “Indel Variant Analysis of Short-Read Sequencing Data with Scalpel.”</w:t>
      </w:r>
      <w:r>
        <w:t xml:space="preserve"> </w:t>
      </w:r>
      <w:r>
        <w:rPr>
          <w:i/>
        </w:rPr>
        <w:t xml:space="preserve">Nature Protocols</w:t>
      </w:r>
      <w:r>
        <w:t xml:space="preserve"> </w:t>
      </w:r>
      <w:r>
        <w:t xml:space="preserve">11 (12): 2529.</w:t>
      </w:r>
    </w:p>
    <w:bookmarkEnd w:id="33"/>
    <w:bookmarkStart w:id="34" w:name="ref-gregory2004"/>
    <w:p>
      <w:pPr>
        <w:pStyle w:val="Bibliography"/>
      </w:pPr>
      <w:r>
        <w:t xml:space="preserve">Gregory, T Ryan. 2004. “Insertion–Deletion Biases and the Evolution of Genome Size.”</w:t>
      </w:r>
      <w:r>
        <w:t xml:space="preserve"> </w:t>
      </w:r>
      <w:r>
        <w:rPr>
          <w:i/>
        </w:rPr>
        <w:t xml:space="preserve">Gene</w:t>
      </w:r>
      <w:r>
        <w:t xml:space="preserve"> </w:t>
      </w:r>
      <w:r>
        <w:t xml:space="preserve">324: 15–34.</w:t>
      </w:r>
    </w:p>
    <w:bookmarkEnd w:id="34"/>
    <w:bookmarkStart w:id="35" w:name="ref-huang2014"/>
    <w:p>
      <w:pPr>
        <w:pStyle w:val="Bibliography"/>
      </w:pPr>
      <w:r>
        <w:t xml:space="preserve">Huang, Wen, Andreas Massouras, Yutaka Inoue, Jason Peiffer, Miquel Ràmia, Aaron M Tarone, Lavanya Turlapati, et al. 2014. “Natural Variation in Genome Architecture Among 205 Drosophila Melanogaster Genetic Reference Panel Lines.”</w:t>
      </w:r>
      <w:r>
        <w:t xml:space="preserve"> </w:t>
      </w:r>
      <w:r>
        <w:rPr>
          <w:i/>
        </w:rPr>
        <w:t xml:space="preserve">Genome Research</w:t>
      </w:r>
      <w:r>
        <w:t xml:space="preserve"> </w:t>
      </w:r>
      <w:r>
        <w:t xml:space="preserve">24 (7): 1193–1208.</w:t>
      </w:r>
    </w:p>
    <w:bookmarkEnd w:id="35"/>
    <w:bookmarkStart w:id="36" w:name="ref-jeffares2015"/>
    <w:p>
      <w:pPr>
        <w:pStyle w:val="Bibliography"/>
      </w:pPr>
      <w:r>
        <w:t xml:space="preserve">Jeffares, Daniel C, Charalampos Rallis, Adrien Rieux, Doug Speed, Martin Převorovskỳ, Tobias Mourier, Francesc X Marsellach, et al. 2015. “The Genomic and Phenotypic Diversity of Schizosaccharomyces Pombe.”</w:t>
      </w:r>
      <w:r>
        <w:t xml:space="preserve"> </w:t>
      </w:r>
      <w:r>
        <w:rPr>
          <w:i/>
        </w:rPr>
        <w:t xml:space="preserve">Nature Genetics</w:t>
      </w:r>
      <w:r>
        <w:t xml:space="preserve"> </w:t>
      </w:r>
      <w:r>
        <w:t xml:space="preserve">47 (3): 235.</w:t>
      </w:r>
    </w:p>
    <w:bookmarkEnd w:id="36"/>
    <w:bookmarkStart w:id="37" w:name="ref-kang2015"/>
    <w:p>
      <w:pPr>
        <w:pStyle w:val="Bibliography"/>
      </w:pPr>
      <w:r>
        <w:t xml:space="preserve">Kang, Huimin, Haifei Wang, Ziyao Fan, Pengju Zhao, Amjad Khan, Zongjun Yin, Jiafu Wang, et al. 2015. “Resequencing Diverse Chinese Indigenous Breeds to Enrich the Map of Genomic Variations in Swine.”</w:t>
      </w:r>
      <w:r>
        <w:t xml:space="preserve"> </w:t>
      </w:r>
      <w:r>
        <w:rPr>
          <w:i/>
        </w:rPr>
        <w:t xml:space="preserve">Genomics</w:t>
      </w:r>
      <w:r>
        <w:t xml:space="preserve"> </w:t>
      </w:r>
      <w:r>
        <w:t xml:space="preserve">106 (5): 286–94.</w:t>
      </w:r>
    </w:p>
    <w:bookmarkEnd w:id="37"/>
    <w:bookmarkStart w:id="38" w:name="ref-li2018"/>
    <w:p>
      <w:pPr>
        <w:pStyle w:val="Bibliography"/>
      </w:pPr>
      <w:r>
        <w:t xml:space="preserve">Li, Donghe, Wonji Kim, Longfei Wang, Kyong-Ah Yoon, Boyoung Park, Charny Park, Sun-Young Kong, et al. 2018. “Comparison of Indel Calling Tools with Simulation Data and Real Short-Read Data.”</w:t>
      </w:r>
      <w:r>
        <w:t xml:space="preserve"> </w:t>
      </w:r>
      <w:r>
        <w:rPr>
          <w:i/>
        </w:rPr>
        <w:t xml:space="preserve">IEEE/ACM Transactions on Computational Biology and Bioinformatics</w:t>
      </w:r>
      <w:r>
        <w:t xml:space="preserve">.</w:t>
      </w:r>
    </w:p>
    <w:bookmarkEnd w:id="38"/>
    <w:bookmarkStart w:id="39" w:name="ref-massouras2012"/>
    <w:p>
      <w:pPr>
        <w:pStyle w:val="Bibliography"/>
      </w:pPr>
      <w:r>
        <w:t xml:space="preserve">Massouras, Andreas, Sebastian M Waszak, Monica Albarca-Aguilera, Korneel Hens, Wiebke Holcombe, Julien F Ayroles, Emmanouil T Dermitzakis, et al. 2012. “Genomic Variation and Its Impact on Gene Expression in Drosophila Melanogaster.”</w:t>
      </w:r>
      <w:r>
        <w:t xml:space="preserve"> </w:t>
      </w:r>
      <w:r>
        <w:rPr>
          <w:i/>
        </w:rPr>
        <w:t xml:space="preserve">PLoS Genetics</w:t>
      </w:r>
      <w:r>
        <w:t xml:space="preserve"> </w:t>
      </w:r>
      <w:r>
        <w:t xml:space="preserve">8 (11): e1003055.</w:t>
      </w:r>
    </w:p>
    <w:bookmarkEnd w:id="39"/>
    <w:bookmarkStart w:id="40" w:name="ref-minias2018"/>
    <w:p>
      <w:pPr>
        <w:pStyle w:val="Bibliography"/>
      </w:pPr>
      <w:r>
        <w:t xml:space="preserve">Minias, Piotr, Ewa Pikus, Linda A Whittingham, and Peter O Dunn. 2018. “A Global Analysis of Selection at the Avian Mhc.”</w:t>
      </w:r>
      <w:r>
        <w:t xml:space="preserve"> </w:t>
      </w:r>
      <w:r>
        <w:rPr>
          <w:i/>
        </w:rPr>
        <w:t xml:space="preserve">Evolution</w:t>
      </w:r>
      <w:r>
        <w:t xml:space="preserve"> </w:t>
      </w:r>
      <w:r>
        <w:t xml:space="preserve">72 (6): 1278–93.</w:t>
      </w:r>
    </w:p>
    <w:bookmarkEnd w:id="40"/>
    <w:bookmarkStart w:id="41" w:name="ref-morin2004"/>
    <w:p>
      <w:pPr>
        <w:pStyle w:val="Bibliography"/>
      </w:pPr>
      <w:r>
        <w:t xml:space="preserve">Morin, Phillip A, Gordon Luikart, Robert K Wayne, and others. 2004. “SNPs in Ecology, Evolution and Conservation.”</w:t>
      </w:r>
      <w:r>
        <w:t xml:space="preserve"> </w:t>
      </w:r>
      <w:r>
        <w:rPr>
          <w:i/>
        </w:rPr>
        <w:t xml:space="preserve">Trends in Ecology &amp; Evolution</w:t>
      </w:r>
      <w:r>
        <w:t xml:space="preserve"> </w:t>
      </w:r>
      <w:r>
        <w:t xml:space="preserve">19 (4): 208–16.</w:t>
      </w:r>
    </w:p>
    <w:bookmarkEnd w:id="41"/>
    <w:bookmarkStart w:id="42" w:name="ref-narzisiandschatz2015"/>
    <w:p>
      <w:pPr>
        <w:pStyle w:val="Bibliography"/>
      </w:pPr>
      <w:r>
        <w:t xml:space="preserve">Narzisi, Giuseppe, and Michael C Schatz. 2015. “The Challenge of Small-Scale Repeats for Indel Discovery.”</w:t>
      </w:r>
      <w:r>
        <w:t xml:space="preserve"> </w:t>
      </w:r>
      <w:r>
        <w:rPr>
          <w:i/>
        </w:rPr>
        <w:t xml:space="preserve">Frontiers in Bioengineering and Biotechnology</w:t>
      </w:r>
      <w:r>
        <w:t xml:space="preserve"> </w:t>
      </w:r>
      <w:r>
        <w:t xml:space="preserve">3: 8.</w:t>
      </w:r>
    </w:p>
    <w:bookmarkEnd w:id="42"/>
    <w:bookmarkStart w:id="43" w:name="ref-onishi2011"/>
    <w:p>
      <w:pPr>
        <w:pStyle w:val="Bibliography"/>
      </w:pPr>
      <w:r>
        <w:t xml:space="preserve">Onishi-Seebacher, Megumi, and Jan O Korbel. 2011. “Challenges in Studying Genomic Structural Variant Formation Mechanisms: The Short-Read Dilemma and Beyond.”</w:t>
      </w:r>
      <w:r>
        <w:t xml:space="preserve"> </w:t>
      </w:r>
      <w:r>
        <w:rPr>
          <w:i/>
        </w:rPr>
        <w:t xml:space="preserve">Bioessays</w:t>
      </w:r>
      <w:r>
        <w:t xml:space="preserve"> </w:t>
      </w:r>
      <w:r>
        <w:t xml:space="preserve">33 (11): 840–50.</w:t>
      </w:r>
    </w:p>
    <w:bookmarkEnd w:id="43"/>
    <w:bookmarkStart w:id="44" w:name="ref-petrov2000"/>
    <w:p>
      <w:pPr>
        <w:pStyle w:val="Bibliography"/>
      </w:pPr>
      <w:r>
        <w:t xml:space="preserve">Petrov, Dmitri A, Todd A Sangster, J Spencer Johnston, Daniel L Hartl, and Kerry L Shaw. 2000. “Evidence for Dna Loss as a Determinant of Genome Size.”</w:t>
      </w:r>
      <w:r>
        <w:t xml:space="preserve"> </w:t>
      </w:r>
      <w:r>
        <w:rPr>
          <w:i/>
        </w:rPr>
        <w:t xml:space="preserve">Science</w:t>
      </w:r>
      <w:r>
        <w:t xml:space="preserve"> </w:t>
      </w:r>
      <w:r>
        <w:t xml:space="preserve">287 (5455): 1060–2.</w:t>
      </w:r>
    </w:p>
    <w:bookmarkEnd w:id="44"/>
    <w:bookmarkStart w:id="45" w:name="ref-tian2008"/>
    <w:p>
      <w:pPr>
        <w:pStyle w:val="Bibliography"/>
      </w:pPr>
      <w:r>
        <w:t xml:space="preserve">Tian, Dacheng, Qiang Wang, Pengfei Zhang, Hitoshi Araki, Sihai Yang, Martin Kreitman, Thomas Nagylaki, Richard Hudson, Joy Bergelson, and Jian-Qun Chen. 2008. “Single-Nucleotide Mutation Rate Increases Close to Insertions/Deletions in Eukaryotes.”</w:t>
      </w:r>
      <w:r>
        <w:t xml:space="preserve"> </w:t>
      </w:r>
      <w:r>
        <w:rPr>
          <w:i/>
        </w:rPr>
        <w:t xml:space="preserve">Nature</w:t>
      </w:r>
      <w:r>
        <w:t xml:space="preserve"> </w:t>
      </w:r>
      <w:r>
        <w:t xml:space="preserve">455 (7209): 105.</w:t>
      </w:r>
    </w:p>
    <w:bookmarkEnd w:id="45"/>
    <w:bookmarkStart w:id="46" w:name="ref-vali2008"/>
    <w:p>
      <w:pPr>
        <w:pStyle w:val="Bibliography"/>
      </w:pPr>
      <w:r>
        <w:t xml:space="preserve">Väli, Ülo, Mikael Brandström, Malin Johansson, and Hans Ellegren. 2008. “Insertion-Deletion Polymorphisms (Indels) as Genetic Markers in Natural Populations.”</w:t>
      </w:r>
      <w:r>
        <w:t xml:space="preserve"> </w:t>
      </w:r>
      <w:r>
        <w:rPr>
          <w:i/>
        </w:rPr>
        <w:t xml:space="preserve">BMC Genetics</w:t>
      </w:r>
      <w:r>
        <w:t xml:space="preserve"> </w:t>
      </w:r>
      <w:r>
        <w:t xml:space="preserve">9 (1): 8.</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INDELs as genetic markers for local adaptation</dc:title>
  <dc:creator>Samuel Perini et al.</dc:creator>
  <cp:keywords/>
  <dcterms:created xsi:type="dcterms:W3CDTF">2019-09-10T15:02:54Z</dcterms:created>
  <dcterms:modified xsi:type="dcterms:W3CDTF">2019-09-10T15:02:54Z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manuscript/Lsax_CZs_indels_ref.bib</vt:lpwstr>
  </property>
  <property fmtid="{D5CDD505-2E9C-101B-9397-08002B2CF9AE}" pid="3" name="date">
    <vt:lpwstr>6th September 2019</vt:lpwstr>
  </property>
</Properties>
</file>