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93419" w14:textId="77777777" w:rsidR="00AD63C7" w:rsidRPr="004C0126" w:rsidRDefault="00A7519C" w:rsidP="00AD63C7">
      <w:pPr>
        <w:spacing w:after="80" w:line="240" w:lineRule="auto"/>
        <w:jc w:val="center"/>
        <w:rPr>
          <w:lang w:val="es-MX"/>
        </w:rPr>
      </w:pPr>
      <w:r w:rsidRPr="004C0126">
        <w:rPr>
          <w:noProof/>
          <w:lang w:val="es-MX"/>
        </w:rPr>
        <w:drawing>
          <wp:anchor distT="0" distB="0" distL="114300" distR="114300" simplePos="0" relativeHeight="251658240" behindDoc="0" locked="0" layoutInCell="1" allowOverlap="1" wp14:anchorId="4F7F1F32" wp14:editId="0152AEB0">
            <wp:simplePos x="0" y="0"/>
            <wp:positionH relativeFrom="margin">
              <wp:posOffset>5534025</wp:posOffset>
            </wp:positionH>
            <wp:positionV relativeFrom="margin">
              <wp:posOffset>-572135</wp:posOffset>
            </wp:positionV>
            <wp:extent cx="845820" cy="1177925"/>
            <wp:effectExtent l="0" t="0" r="0" b="3175"/>
            <wp:wrapThrough wrapText="bothSides">
              <wp:wrapPolygon edited="0">
                <wp:start x="0" y="0"/>
                <wp:lineTo x="0" y="21309"/>
                <wp:lineTo x="20919" y="21309"/>
                <wp:lineTo x="20919" y="0"/>
                <wp:lineTo x="0" y="0"/>
              </wp:wrapPolygon>
            </wp:wrapThrough>
            <wp:docPr id="1975743078" name="Imagen 1" descr="Misión, Visión, Objetivos Integrales de la Unidad | IPN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ión, Visión, Objetivos Integrales de la Unidad | IPN Ofici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5820" cy="117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0126">
        <w:rPr>
          <w:noProof/>
          <w:lang w:val="es-MX"/>
        </w:rPr>
        <w:drawing>
          <wp:anchor distT="0" distB="0" distL="114300" distR="114300" simplePos="0" relativeHeight="251659264" behindDoc="0" locked="0" layoutInCell="1" allowOverlap="1" wp14:anchorId="77FCAF39" wp14:editId="09CB5229">
            <wp:simplePos x="0" y="0"/>
            <wp:positionH relativeFrom="margin">
              <wp:posOffset>-790575</wp:posOffset>
            </wp:positionH>
            <wp:positionV relativeFrom="margin">
              <wp:posOffset>-419735</wp:posOffset>
            </wp:positionV>
            <wp:extent cx="1249680" cy="1249680"/>
            <wp:effectExtent l="0" t="0" r="7620" b="7620"/>
            <wp:wrapSquare wrapText="bothSides"/>
            <wp:docPr id="1082919172" name="Imagen 2" descr="Depto. del Programa Institucional de Tutorías | IPN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to. del Programa Institucional de Tutorías | IPN Ofici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63C7" w:rsidRPr="004C0126">
        <w:rPr>
          <w:b/>
          <w:color w:val="282828"/>
          <w:sz w:val="33"/>
          <w:lang w:val="es-MX"/>
        </w:rPr>
        <w:t>INSTITUTO POLITÉCNICO NACIONAL</w:t>
      </w:r>
    </w:p>
    <w:p w14:paraId="58A055CF" w14:textId="77777777" w:rsidR="005C6BE1" w:rsidRPr="004C0126" w:rsidRDefault="00AD63C7" w:rsidP="00AD63C7">
      <w:pPr>
        <w:jc w:val="center"/>
        <w:rPr>
          <w:lang w:val="es-MX"/>
        </w:rPr>
      </w:pPr>
      <w:r w:rsidRPr="004C0126">
        <w:rPr>
          <w:b/>
          <w:color w:val="464646"/>
          <w:sz w:val="21"/>
          <w:lang w:val="es-MX"/>
        </w:rPr>
        <w:t>ESCUELA SUPERIOR DE INGENIERÍA QUÍMICA</w:t>
      </w:r>
      <w:r w:rsidRPr="004C0126">
        <w:rPr>
          <w:b/>
          <w:color w:val="464646"/>
          <w:sz w:val="21"/>
          <w:lang w:val="es-MX"/>
        </w:rPr>
        <w:br/>
        <w:t>E INDUSTRIAS EXTRACTIVAS</w:t>
      </w:r>
      <w:r w:rsidRPr="004C0126">
        <w:rPr>
          <w:lang w:val="es-MX"/>
        </w:rPr>
        <w:t xml:space="preserve"> </w:t>
      </w:r>
    </w:p>
    <w:p w14:paraId="1A08BEEB" w14:textId="77777777" w:rsidR="00AD63C7" w:rsidRPr="004C0126" w:rsidRDefault="00AD63C7" w:rsidP="00AD63C7">
      <w:pPr>
        <w:spacing w:before="400" w:after="120" w:line="240" w:lineRule="auto"/>
        <w:jc w:val="center"/>
        <w:rPr>
          <w:lang w:val="es-MX"/>
        </w:rPr>
      </w:pPr>
    </w:p>
    <w:p w14:paraId="5C90F33E" w14:textId="77777777" w:rsidR="000C4F0E" w:rsidRPr="004C0126" w:rsidRDefault="000C4F0E" w:rsidP="00AD63C7">
      <w:pPr>
        <w:spacing w:before="400" w:after="120" w:line="240" w:lineRule="auto"/>
        <w:jc w:val="center"/>
        <w:rPr>
          <w:lang w:val="es-MX"/>
        </w:rPr>
      </w:pPr>
    </w:p>
    <w:p w14:paraId="3FD0825E" w14:textId="77777777" w:rsidR="000C4F0E" w:rsidRPr="004C0126" w:rsidRDefault="000C4F0E" w:rsidP="000C4F0E">
      <w:pPr>
        <w:spacing w:before="400" w:after="120" w:line="240" w:lineRule="auto"/>
        <w:rPr>
          <w:lang w:val="es-MX"/>
        </w:rPr>
      </w:pPr>
    </w:p>
    <w:p w14:paraId="3D2618C1" w14:textId="77777777" w:rsidR="0066646D" w:rsidRPr="004C0126" w:rsidRDefault="00FA1AD0" w:rsidP="0066646D">
      <w:pPr>
        <w:spacing w:before="480" w:after="60" w:line="240" w:lineRule="auto"/>
        <w:jc w:val="center"/>
        <w:rPr>
          <w:b/>
          <w:bCs/>
          <w:sz w:val="44"/>
          <w:szCs w:val="48"/>
          <w:lang w:val="es-MX"/>
        </w:rPr>
      </w:pPr>
      <w:r w:rsidRPr="004C0126">
        <w:rPr>
          <w:b/>
          <w:color w:val="232323"/>
          <w:sz w:val="36"/>
          <w:lang w:val="es-MX"/>
        </w:rPr>
        <w:t>“DESARROLLO DE UNA HERRAMIENTA PARA TELÉFONOS EN PYTHON PARA EL ANÁLISIS Y RESOLUCIÓN DE PROBLEMAS DE SEPARACIÓN POR ETAPAS”</w:t>
      </w:r>
    </w:p>
    <w:p w14:paraId="79907E53" w14:textId="77777777" w:rsidR="000C4F0E" w:rsidRPr="004C0126" w:rsidRDefault="0066646D" w:rsidP="0066646D">
      <w:pPr>
        <w:spacing w:before="480" w:after="60" w:line="240" w:lineRule="auto"/>
        <w:jc w:val="center"/>
        <w:rPr>
          <w:b/>
          <w:bCs/>
          <w:sz w:val="48"/>
          <w:szCs w:val="32"/>
          <w:lang w:val="es-MX"/>
        </w:rPr>
      </w:pPr>
      <w:r w:rsidRPr="004C0126">
        <w:rPr>
          <w:b/>
          <w:bCs/>
          <w:sz w:val="44"/>
          <w:szCs w:val="48"/>
          <w:lang w:val="es-MX"/>
        </w:rPr>
        <w:t>TESIS</w:t>
      </w:r>
    </w:p>
    <w:p w14:paraId="374B2AAB" w14:textId="77777777" w:rsidR="00AD63C7" w:rsidRPr="004C0126" w:rsidRDefault="000C4F0E" w:rsidP="00AD63C7">
      <w:pPr>
        <w:spacing w:before="480" w:after="60" w:line="240" w:lineRule="auto"/>
        <w:jc w:val="center"/>
        <w:rPr>
          <w:lang w:val="es-MX"/>
        </w:rPr>
      </w:pPr>
      <w:r w:rsidRPr="004C0126">
        <w:rPr>
          <w:color w:val="5F5F5F"/>
          <w:sz w:val="21"/>
          <w:lang w:val="es-MX"/>
        </w:rPr>
        <w:t>TESIS</w:t>
      </w:r>
      <w:r w:rsidR="00AD63C7" w:rsidRPr="004C0126">
        <w:rPr>
          <w:color w:val="5F5F5F"/>
          <w:sz w:val="21"/>
          <w:lang w:val="es-MX"/>
        </w:rPr>
        <w:t xml:space="preserve"> </w:t>
      </w:r>
      <w:r w:rsidR="00B92B46" w:rsidRPr="004C0126">
        <w:rPr>
          <w:color w:val="5F5F5F"/>
          <w:sz w:val="21"/>
          <w:lang w:val="es-MX"/>
        </w:rPr>
        <w:t xml:space="preserve">QUE </w:t>
      </w:r>
      <w:r w:rsidR="00AD63C7" w:rsidRPr="004C0126">
        <w:rPr>
          <w:color w:val="5F5F5F"/>
          <w:sz w:val="21"/>
          <w:lang w:val="es-MX"/>
        </w:rPr>
        <w:t>PARA OBTENER EL TÍTULO DE</w:t>
      </w:r>
    </w:p>
    <w:p w14:paraId="59B0A6FB" w14:textId="77777777" w:rsidR="00AD63C7" w:rsidRPr="004C0126" w:rsidRDefault="00AD63C7" w:rsidP="00AD63C7">
      <w:pPr>
        <w:spacing w:after="0" w:line="240" w:lineRule="auto"/>
        <w:jc w:val="center"/>
        <w:rPr>
          <w:lang w:val="es-MX"/>
        </w:rPr>
      </w:pPr>
      <w:r w:rsidRPr="004C0126">
        <w:rPr>
          <w:b/>
          <w:color w:val="323232"/>
          <w:sz w:val="26"/>
          <w:lang w:val="es-MX"/>
        </w:rPr>
        <w:t>INGENIERO QUÍMICO INDUSTRIAL</w:t>
      </w:r>
    </w:p>
    <w:p w14:paraId="6902C240" w14:textId="77777777" w:rsidR="00AD63C7" w:rsidRPr="004C0126" w:rsidRDefault="00AD63C7" w:rsidP="00AD63C7">
      <w:pPr>
        <w:spacing w:before="500" w:after="100" w:line="240" w:lineRule="auto"/>
        <w:jc w:val="center"/>
        <w:rPr>
          <w:lang w:val="es-MX"/>
        </w:rPr>
      </w:pPr>
      <w:r w:rsidRPr="004C0126">
        <w:rPr>
          <w:b/>
          <w:color w:val="505050"/>
          <w:sz w:val="21"/>
          <w:lang w:val="es-MX"/>
        </w:rPr>
        <w:t>PRESENTA</w:t>
      </w:r>
    </w:p>
    <w:p w14:paraId="29E2EDA3" w14:textId="77777777" w:rsidR="00AD63C7" w:rsidRPr="004C0126" w:rsidRDefault="00AD63C7" w:rsidP="00AD63C7">
      <w:pPr>
        <w:spacing w:after="0" w:line="240" w:lineRule="auto"/>
        <w:jc w:val="center"/>
        <w:rPr>
          <w:b/>
          <w:color w:val="232323"/>
          <w:sz w:val="27"/>
          <w:lang w:val="es-MX"/>
        </w:rPr>
      </w:pPr>
      <w:r w:rsidRPr="004C0126">
        <w:rPr>
          <w:b/>
          <w:color w:val="232323"/>
          <w:sz w:val="27"/>
          <w:lang w:val="es-MX"/>
        </w:rPr>
        <w:t>Vázquez Pérez Diego</w:t>
      </w:r>
    </w:p>
    <w:p w14:paraId="01C35EA2" w14:textId="77777777" w:rsidR="000C4F0E" w:rsidRPr="004C0126" w:rsidRDefault="00AD63C7" w:rsidP="000C4F0E">
      <w:pPr>
        <w:spacing w:after="0" w:line="240" w:lineRule="auto"/>
        <w:jc w:val="center"/>
        <w:rPr>
          <w:lang w:val="es-MX"/>
        </w:rPr>
      </w:pPr>
      <w:r w:rsidRPr="004C0126">
        <w:rPr>
          <w:b/>
          <w:color w:val="232323"/>
          <w:sz w:val="27"/>
          <w:lang w:val="es-MX"/>
        </w:rPr>
        <w:t>Vázquez Vega Edwin Zue</w:t>
      </w:r>
    </w:p>
    <w:p w14:paraId="3F122D37" w14:textId="77777777" w:rsidR="000C4F0E" w:rsidRPr="004C0126" w:rsidRDefault="000C4F0E" w:rsidP="000C4F0E">
      <w:pPr>
        <w:spacing w:after="0" w:line="240" w:lineRule="auto"/>
        <w:jc w:val="center"/>
        <w:rPr>
          <w:lang w:val="es-MX"/>
        </w:rPr>
      </w:pPr>
    </w:p>
    <w:p w14:paraId="375D71F2" w14:textId="77777777" w:rsidR="00AD63C7" w:rsidRPr="004C0126" w:rsidRDefault="00AD63C7" w:rsidP="000C4F0E">
      <w:pPr>
        <w:spacing w:before="480" w:after="100" w:line="240" w:lineRule="auto"/>
        <w:jc w:val="center"/>
        <w:rPr>
          <w:lang w:val="es-MX"/>
        </w:rPr>
      </w:pPr>
      <w:r w:rsidRPr="004C0126">
        <w:rPr>
          <w:b/>
          <w:color w:val="505050"/>
          <w:sz w:val="21"/>
          <w:lang w:val="es-MX"/>
        </w:rPr>
        <w:t>ASESOR O DIRECTOR DE TESIS</w:t>
      </w:r>
    </w:p>
    <w:p w14:paraId="16E92F07" w14:textId="77777777" w:rsidR="00AD63C7" w:rsidRPr="004C0126" w:rsidRDefault="00EE307C" w:rsidP="000C4F0E">
      <w:pPr>
        <w:spacing w:after="0" w:line="240" w:lineRule="auto"/>
        <w:jc w:val="center"/>
        <w:rPr>
          <w:lang w:val="es-MX"/>
        </w:rPr>
      </w:pPr>
      <w:r w:rsidRPr="004C0126">
        <w:rPr>
          <w:b/>
          <w:color w:val="232323"/>
          <w:sz w:val="25"/>
          <w:lang w:val="es-MX"/>
        </w:rPr>
        <w:t>Ing. Luis German</w:t>
      </w:r>
      <w:r w:rsidR="001C131C" w:rsidRPr="004C0126">
        <w:rPr>
          <w:b/>
          <w:color w:val="232323"/>
          <w:sz w:val="25"/>
          <w:lang w:val="es-MX"/>
        </w:rPr>
        <w:t xml:space="preserve"> Gasca Reyes</w:t>
      </w:r>
    </w:p>
    <w:p w14:paraId="0ABDD86B" w14:textId="77777777" w:rsidR="00593B12" w:rsidRPr="004C0126" w:rsidRDefault="00593B12" w:rsidP="00DD2E7F">
      <w:pPr>
        <w:spacing w:before="480" w:after="100" w:line="240" w:lineRule="auto"/>
        <w:rPr>
          <w:b/>
          <w:color w:val="505050"/>
          <w:sz w:val="21"/>
          <w:lang w:val="es-MX"/>
        </w:rPr>
      </w:pPr>
    </w:p>
    <w:p w14:paraId="30242F2E" w14:textId="77777777" w:rsidR="000C4F0E" w:rsidRPr="004C0126" w:rsidRDefault="00EE307C" w:rsidP="000C4F0E">
      <w:pPr>
        <w:spacing w:before="480" w:after="100" w:line="240" w:lineRule="auto"/>
        <w:jc w:val="center"/>
        <w:rPr>
          <w:b/>
          <w:color w:val="505050"/>
          <w:sz w:val="21"/>
          <w:lang w:val="es-MX"/>
        </w:rPr>
      </w:pPr>
      <w:r w:rsidRPr="004C0126">
        <w:rPr>
          <w:b/>
          <w:color w:val="505050"/>
          <w:sz w:val="21"/>
          <w:lang w:val="es-MX"/>
        </w:rPr>
        <w:t>L</w:t>
      </w:r>
      <w:r w:rsidR="000C4F0E" w:rsidRPr="004C0126">
        <w:rPr>
          <w:b/>
          <w:color w:val="505050"/>
          <w:sz w:val="21"/>
          <w:lang w:val="es-MX"/>
        </w:rPr>
        <w:t>UGAR Y FECHA</w:t>
      </w:r>
    </w:p>
    <w:p w14:paraId="7732B4ED" w14:textId="2E2AE1DF" w:rsidR="00AD63C7" w:rsidRPr="004C0126" w:rsidRDefault="00EE307C" w:rsidP="00593B12">
      <w:pPr>
        <w:spacing w:before="480" w:after="100" w:line="240" w:lineRule="auto"/>
        <w:jc w:val="center"/>
        <w:rPr>
          <w:b/>
          <w:color w:val="232323"/>
          <w:sz w:val="25"/>
          <w:lang w:val="es-MX"/>
        </w:rPr>
      </w:pPr>
      <w:r w:rsidRPr="004C0126">
        <w:rPr>
          <w:b/>
          <w:color w:val="232323"/>
          <w:sz w:val="25"/>
          <w:lang w:val="es-MX"/>
        </w:rPr>
        <w:t xml:space="preserve">Ciudad de México, </w:t>
      </w:r>
      <w:r w:rsidR="006A4563" w:rsidRPr="004C0126">
        <w:rPr>
          <w:b/>
          <w:color w:val="232323"/>
          <w:sz w:val="25"/>
          <w:lang w:val="es-MX"/>
        </w:rPr>
        <w:t>septiembre</w:t>
      </w:r>
      <w:r w:rsidRPr="004C0126">
        <w:rPr>
          <w:b/>
          <w:color w:val="232323"/>
          <w:sz w:val="25"/>
          <w:lang w:val="es-MX"/>
        </w:rPr>
        <w:t xml:space="preserve"> de 2026</w:t>
      </w:r>
    </w:p>
    <w:p w14:paraId="6F53D14B" w14:textId="77777777" w:rsidR="0012667A" w:rsidRPr="004C0126" w:rsidRDefault="0012667A" w:rsidP="00593B12">
      <w:pPr>
        <w:spacing w:before="480" w:after="100" w:line="240" w:lineRule="auto"/>
        <w:jc w:val="center"/>
        <w:rPr>
          <w:b/>
          <w:color w:val="232323"/>
          <w:sz w:val="25"/>
          <w:lang w:val="es-MX"/>
        </w:rPr>
      </w:pPr>
    </w:p>
    <w:sdt>
      <w:sdtPr>
        <w:rPr>
          <w:rFonts w:ascii="Arial" w:eastAsiaTheme="minorEastAsia" w:hAnsi="Arial" w:cstheme="minorBidi"/>
          <w:color w:val="auto"/>
          <w:sz w:val="22"/>
          <w:szCs w:val="22"/>
          <w:lang w:eastAsia="en-US"/>
        </w:rPr>
        <w:id w:val="-4990969"/>
        <w:docPartObj>
          <w:docPartGallery w:val="Table of Contents"/>
          <w:docPartUnique/>
        </w:docPartObj>
      </w:sdtPr>
      <w:sdtEndPr>
        <w:rPr>
          <w:b/>
          <w:bCs/>
        </w:rPr>
      </w:sdtEndPr>
      <w:sdtContent>
        <w:p w14:paraId="7D912B58" w14:textId="77777777" w:rsidR="00E04057" w:rsidRPr="004C0126" w:rsidRDefault="00E04057" w:rsidP="00E04057">
          <w:pPr>
            <w:pStyle w:val="TtuloTDC"/>
            <w:jc w:val="center"/>
          </w:pPr>
          <w:r w:rsidRPr="004C0126">
            <w:t>ÍNDICE</w:t>
          </w:r>
        </w:p>
        <w:p w14:paraId="6D703C28" w14:textId="1596C900" w:rsidR="009D3745" w:rsidRPr="004C0126" w:rsidRDefault="00E04057">
          <w:pPr>
            <w:pStyle w:val="TDC1"/>
            <w:tabs>
              <w:tab w:val="right" w:leader="dot" w:pos="8828"/>
            </w:tabs>
            <w:rPr>
              <w:rFonts w:asciiTheme="minorHAnsi" w:hAnsiTheme="minorHAnsi"/>
              <w:noProof/>
              <w:kern w:val="2"/>
              <w:sz w:val="24"/>
              <w:szCs w:val="24"/>
              <w:lang w:val="es-MX" w:eastAsia="es-MX"/>
              <w14:ligatures w14:val="standardContextual"/>
            </w:rPr>
          </w:pPr>
          <w:r w:rsidRPr="004C0126">
            <w:rPr>
              <w:lang w:val="es-MX"/>
            </w:rPr>
            <w:fldChar w:fldCharType="begin"/>
          </w:r>
          <w:r w:rsidRPr="004C0126">
            <w:rPr>
              <w:lang w:val="es-MX"/>
            </w:rPr>
            <w:instrText xml:space="preserve"> TOC \o "1-3" \h \z \u </w:instrText>
          </w:r>
          <w:r w:rsidRPr="004C0126">
            <w:rPr>
              <w:lang w:val="es-MX"/>
            </w:rPr>
            <w:fldChar w:fldCharType="separate"/>
          </w:r>
          <w:hyperlink w:anchor="_Toc242399111" w:history="1">
            <w:r w:rsidR="009D3745" w:rsidRPr="004C0126">
              <w:rPr>
                <w:rStyle w:val="Hipervnculo"/>
                <w:noProof/>
                <w:lang w:val="es-MX"/>
              </w:rPr>
              <w:t>Introducción</w:t>
            </w:r>
            <w:r w:rsidR="009D3745" w:rsidRPr="004C0126">
              <w:rPr>
                <w:noProof/>
                <w:webHidden/>
                <w:lang w:val="es-MX"/>
              </w:rPr>
              <w:tab/>
            </w:r>
            <w:r w:rsidR="009D3745" w:rsidRPr="004C0126">
              <w:rPr>
                <w:noProof/>
                <w:webHidden/>
                <w:lang w:val="es-MX"/>
              </w:rPr>
              <w:fldChar w:fldCharType="begin"/>
            </w:r>
            <w:r w:rsidR="009D3745" w:rsidRPr="004C0126">
              <w:rPr>
                <w:noProof/>
                <w:webHidden/>
                <w:lang w:val="es-MX"/>
              </w:rPr>
              <w:instrText xml:space="preserve"> PAGEREF _Toc242399111 \h </w:instrText>
            </w:r>
            <w:r w:rsidR="009D3745" w:rsidRPr="004C0126">
              <w:rPr>
                <w:noProof/>
                <w:webHidden/>
                <w:lang w:val="es-MX"/>
              </w:rPr>
            </w:r>
            <w:r w:rsidR="009D3745" w:rsidRPr="004C0126">
              <w:rPr>
                <w:noProof/>
                <w:webHidden/>
                <w:lang w:val="es-MX"/>
              </w:rPr>
              <w:fldChar w:fldCharType="separate"/>
            </w:r>
            <w:r w:rsidR="009D3745" w:rsidRPr="004C0126">
              <w:rPr>
                <w:noProof/>
                <w:webHidden/>
                <w:lang w:val="es-MX"/>
              </w:rPr>
              <w:t>3</w:t>
            </w:r>
            <w:r w:rsidR="009D3745" w:rsidRPr="004C0126">
              <w:rPr>
                <w:noProof/>
                <w:webHidden/>
                <w:lang w:val="es-MX"/>
              </w:rPr>
              <w:fldChar w:fldCharType="end"/>
            </w:r>
          </w:hyperlink>
        </w:p>
        <w:p w14:paraId="05C0B143" w14:textId="107296D6" w:rsidR="009D3745" w:rsidRPr="004C0126" w:rsidRDefault="009D3745">
          <w:pPr>
            <w:pStyle w:val="TDC1"/>
            <w:tabs>
              <w:tab w:val="right" w:leader="dot" w:pos="8828"/>
            </w:tabs>
            <w:rPr>
              <w:rFonts w:asciiTheme="minorHAnsi" w:hAnsiTheme="minorHAnsi"/>
              <w:noProof/>
              <w:kern w:val="2"/>
              <w:sz w:val="24"/>
              <w:szCs w:val="24"/>
              <w:lang w:val="es-MX" w:eastAsia="es-MX"/>
              <w14:ligatures w14:val="standardContextual"/>
            </w:rPr>
          </w:pPr>
          <w:hyperlink w:anchor="_Toc242399112" w:history="1">
            <w:r w:rsidRPr="004C0126">
              <w:rPr>
                <w:rStyle w:val="Hipervnculo"/>
                <w:noProof/>
                <w:lang w:val="es-MX"/>
              </w:rPr>
              <w:t>Referencias bibliográficas</w:t>
            </w:r>
            <w:r w:rsidRPr="004C0126">
              <w:rPr>
                <w:noProof/>
                <w:webHidden/>
                <w:lang w:val="es-MX"/>
              </w:rPr>
              <w:tab/>
            </w:r>
            <w:r w:rsidRPr="004C0126">
              <w:rPr>
                <w:noProof/>
                <w:webHidden/>
                <w:lang w:val="es-MX"/>
              </w:rPr>
              <w:fldChar w:fldCharType="begin"/>
            </w:r>
            <w:r w:rsidRPr="004C0126">
              <w:rPr>
                <w:noProof/>
                <w:webHidden/>
                <w:lang w:val="es-MX"/>
              </w:rPr>
              <w:instrText xml:space="preserve"> PAGEREF _Toc242399112 \h </w:instrText>
            </w:r>
            <w:r w:rsidRPr="004C0126">
              <w:rPr>
                <w:noProof/>
                <w:webHidden/>
                <w:lang w:val="es-MX"/>
              </w:rPr>
            </w:r>
            <w:r w:rsidRPr="004C0126">
              <w:rPr>
                <w:noProof/>
                <w:webHidden/>
                <w:lang w:val="es-MX"/>
              </w:rPr>
              <w:fldChar w:fldCharType="separate"/>
            </w:r>
            <w:r w:rsidRPr="004C0126">
              <w:rPr>
                <w:noProof/>
                <w:webHidden/>
                <w:lang w:val="es-MX"/>
              </w:rPr>
              <w:t>6</w:t>
            </w:r>
            <w:r w:rsidRPr="004C0126">
              <w:rPr>
                <w:noProof/>
                <w:webHidden/>
                <w:lang w:val="es-MX"/>
              </w:rPr>
              <w:fldChar w:fldCharType="end"/>
            </w:r>
          </w:hyperlink>
        </w:p>
        <w:p w14:paraId="29D2F40B" w14:textId="4C5D0C04" w:rsidR="00E04057" w:rsidRPr="004C0126" w:rsidRDefault="00E04057">
          <w:pPr>
            <w:rPr>
              <w:lang w:val="es-MX"/>
            </w:rPr>
          </w:pPr>
          <w:r w:rsidRPr="004C0126">
            <w:rPr>
              <w:b/>
              <w:bCs/>
              <w:lang w:val="es-MX"/>
            </w:rPr>
            <w:fldChar w:fldCharType="end"/>
          </w:r>
        </w:p>
      </w:sdtContent>
    </w:sdt>
    <w:p w14:paraId="1CE90E1C" w14:textId="77777777" w:rsidR="00E04057" w:rsidRPr="004C0126" w:rsidRDefault="00E04057">
      <w:pPr>
        <w:spacing w:after="160" w:line="278" w:lineRule="auto"/>
        <w:rPr>
          <w:b/>
          <w:color w:val="232323"/>
          <w:sz w:val="25"/>
          <w:lang w:val="es-MX"/>
        </w:rPr>
      </w:pPr>
      <w:r w:rsidRPr="004C0126">
        <w:rPr>
          <w:b/>
          <w:color w:val="232323"/>
          <w:sz w:val="25"/>
          <w:lang w:val="es-MX"/>
        </w:rPr>
        <w:br w:type="page"/>
      </w:r>
    </w:p>
    <w:p w14:paraId="33CEFFEB" w14:textId="77777777" w:rsidR="0012667A" w:rsidRPr="004C0126" w:rsidRDefault="00E04057" w:rsidP="00E04057">
      <w:pPr>
        <w:pStyle w:val="Ttulo1"/>
        <w:spacing w:after="320"/>
        <w:rPr>
          <w:lang w:val="es-MX"/>
        </w:rPr>
      </w:pPr>
      <w:bookmarkStart w:id="0" w:name="_Toc242399111"/>
      <w:r w:rsidRPr="004C0126">
        <w:rPr>
          <w:rFonts w:ascii="Arial" w:hAnsi="Arial"/>
          <w:color w:val="000000"/>
          <w:sz w:val="32"/>
          <w:lang w:val="es-MX"/>
        </w:rPr>
        <w:lastRenderedPageBreak/>
        <w:t>Introducción</w:t>
      </w:r>
      <w:bookmarkEnd w:id="0"/>
    </w:p>
    <w:p w14:paraId="273CB99B" w14:textId="77777777" w:rsidR="00BC1377" w:rsidRPr="004C0126" w:rsidRDefault="00000000">
      <w:pPr>
        <w:spacing w:after="160" w:line="360" w:lineRule="auto"/>
        <w:jc w:val="both"/>
        <w:rPr>
          <w:lang w:val="es-MX"/>
        </w:rPr>
      </w:pPr>
      <w:r w:rsidRPr="004C0126">
        <w:rPr>
          <w:color w:val="000000"/>
          <w:lang w:val="es-MX"/>
        </w:rPr>
        <w:t>Los procesos de separación ocupan un lugar central en la ingeniería química porque permiten acondicionar materias primas, recuperar componentes y obtener productos con la composición requerida. En una planta química, estas operaciones pueden preceder a la reacción para purificar la alimentación y continuar después de ella para recuperar material no convertido y separar los productos. Su estudio comprende operaciones como la destilación, la absorción y la extracción, cuyos principios proporcionan herramienta</w:t>
      </w:r>
      <w:r w:rsidRPr="004C0126">
        <w:rPr>
          <w:color w:val="000000"/>
          <w:lang w:val="es-MX"/>
        </w:rPr>
        <w:t>s para analizar la distribución de los componentes de una mezcla entre distintas fases (</w:t>
      </w:r>
      <w:proofErr w:type="spellStart"/>
      <w:r w:rsidRPr="004C0126">
        <w:rPr>
          <w:color w:val="000000"/>
          <w:lang w:val="es-MX"/>
        </w:rPr>
        <w:t>Wankat</w:t>
      </w:r>
      <w:proofErr w:type="spellEnd"/>
      <w:r w:rsidRPr="004C0126">
        <w:rPr>
          <w:color w:val="000000"/>
          <w:lang w:val="es-MX"/>
        </w:rPr>
        <w:t>, 2008, pp. 1–2; Seader et al., 2011, p. 2).</w:t>
      </w:r>
    </w:p>
    <w:p w14:paraId="5FA943FA" w14:textId="77777777" w:rsidR="00BC1377" w:rsidRPr="004C0126" w:rsidRDefault="00000000">
      <w:pPr>
        <w:spacing w:after="160" w:line="360" w:lineRule="auto"/>
        <w:jc w:val="both"/>
        <w:rPr>
          <w:lang w:val="es-MX"/>
        </w:rPr>
      </w:pPr>
      <w:r w:rsidRPr="004C0126">
        <w:rPr>
          <w:color w:val="000000"/>
          <w:lang w:val="es-MX"/>
        </w:rPr>
        <w:t>Dentro de este campo, las operaciones de transferencia de masa aprovechan las diferencias de composición entre fases y el transporte de los componentes a través de ellas. En la destilación, por ejemplo, el contacto entre un líquido y el vapor generado a partir de él permite obtener corrientes de composiciones distintas; en la absorción y la extracción, la separación se relaciona con la transferencia de sustancias entre las fases puestas en contacto. Aunque estas operaciones utilizan equipos y condiciones di</w:t>
      </w:r>
      <w:r w:rsidRPr="004C0126">
        <w:rPr>
          <w:color w:val="000000"/>
          <w:lang w:val="es-MX"/>
        </w:rPr>
        <w:t>ferentes, comparten la necesidad de relacionar el equilibrio de fases con los balances de materia (Treybal, s. f., pp. 2–4, 140–143).</w:t>
      </w:r>
    </w:p>
    <w:p w14:paraId="7BA1B166" w14:textId="77777777" w:rsidR="00BC1377" w:rsidRPr="004C0126" w:rsidRDefault="00000000">
      <w:pPr>
        <w:spacing w:after="160" w:line="360" w:lineRule="auto"/>
        <w:jc w:val="both"/>
        <w:rPr>
          <w:lang w:val="es-MX"/>
        </w:rPr>
      </w:pPr>
      <w:r w:rsidRPr="004C0126">
        <w:rPr>
          <w:color w:val="000000"/>
          <w:lang w:val="es-MX"/>
        </w:rPr>
        <w:t>El concepto de etapa de equilibrio ofrece una base común para este análisis. Una etapa ideal supone que las corrientes que salen de ella se encuentran en equilibrio, de modo que sus composiciones pueden relacionarse mediante datos o modelos termodinámicos. La conexión de varias etapas permite desarrollar cálculos sucesivos para estudiar la separación alcanzada. Esta representación simplifica el tratamiento del proceso, pero debe distinguirse del comportamiento de una etapa real: la aproximación al equilibri</w:t>
      </w:r>
      <w:r w:rsidRPr="004C0126">
        <w:rPr>
          <w:color w:val="000000"/>
          <w:lang w:val="es-MX"/>
        </w:rPr>
        <w:t>o depende del contacto entre las fases y puede expresarse mediante una eficiencia de etapa (</w:t>
      </w:r>
      <w:proofErr w:type="spellStart"/>
      <w:r w:rsidRPr="004C0126">
        <w:rPr>
          <w:color w:val="000000"/>
          <w:lang w:val="es-MX"/>
        </w:rPr>
        <w:t>Wankat</w:t>
      </w:r>
      <w:proofErr w:type="spellEnd"/>
      <w:r w:rsidRPr="004C0126">
        <w:rPr>
          <w:color w:val="000000"/>
          <w:lang w:val="es-MX"/>
        </w:rPr>
        <w:t>, 2008, pp. 1–2; Treybal, s. f., p. 140).</w:t>
      </w:r>
    </w:p>
    <w:p w14:paraId="051F7F42" w14:textId="77777777" w:rsidR="00BC1377" w:rsidRPr="004C0126" w:rsidRDefault="00000000">
      <w:pPr>
        <w:spacing w:after="160" w:line="360" w:lineRule="auto"/>
        <w:jc w:val="both"/>
        <w:rPr>
          <w:lang w:val="es-MX"/>
        </w:rPr>
      </w:pPr>
      <w:r w:rsidRPr="004C0126">
        <w:rPr>
          <w:color w:val="000000"/>
          <w:lang w:val="es-MX"/>
        </w:rPr>
        <w:t>La descripción termodinámica es, por tanto, parte esencial del cálculo. Para sistemas que admiten las hipótesis de vapor ideal y solución líquida ideal, las leyes de Raoult y Dalton relacionan las composiciones de ambas fases con la presión del sistema y las presiones de vapor de los componentes. Cuando la fase líquida presenta desviaciones de la idealidad, una formulación a baja presión incorpora coeficientes de actividad. Entre los modelos disponibles se encuentra Van Laar, que emplea parámetros de intera</w:t>
      </w:r>
      <w:r w:rsidRPr="004C0126">
        <w:rPr>
          <w:color w:val="000000"/>
          <w:lang w:val="es-MX"/>
        </w:rPr>
        <w:t xml:space="preserve">cción para cada par </w:t>
      </w:r>
      <w:r w:rsidRPr="004C0126">
        <w:rPr>
          <w:color w:val="000000"/>
          <w:lang w:val="es-MX"/>
        </w:rPr>
        <w:lastRenderedPageBreak/>
        <w:t>binario y tiene limitaciones de representación que deben considerarse al seleccionar el modelo (Seader et al., 2011, pp. 40, 42, 55–57).</w:t>
      </w:r>
    </w:p>
    <w:p w14:paraId="2461BB5A" w14:textId="230E940E" w:rsidR="00BC1377" w:rsidRPr="004C0126" w:rsidRDefault="00000000">
      <w:pPr>
        <w:spacing w:after="160" w:line="360" w:lineRule="auto"/>
        <w:jc w:val="both"/>
        <w:rPr>
          <w:lang w:val="es-MX"/>
        </w:rPr>
      </w:pPr>
      <w:r w:rsidRPr="004C0126">
        <w:rPr>
          <w:color w:val="000000"/>
          <w:lang w:val="es-MX"/>
        </w:rPr>
        <w:t>En el análisis de columnas de destilación binaria, el método de McCabe–Thiele vincula la curva de equilibrio con las líneas de operación obtenidas de los balances de materia. La construcción gráfica representa la aplicación sucesiva de ambas relaciones para determinar las etapas teóricas. Su formulación habitual se apoya en la hipótesis de derrame mola</w:t>
      </w:r>
      <w:r w:rsidR="004C0126">
        <w:rPr>
          <w:color w:val="000000"/>
          <w:lang w:val="es-MX"/>
        </w:rPr>
        <w:t>r</w:t>
      </w:r>
      <w:r w:rsidRPr="004C0126">
        <w:rPr>
          <w:color w:val="000000"/>
          <w:lang w:val="es-MX"/>
        </w:rPr>
        <w:t xml:space="preserve"> constante, por lo que la interpretación del resultado exige reconocer las condiciones que permiten utilizar esa simplificación. El diagrama hace visible la </w:t>
      </w:r>
      <w:r w:rsidRPr="004C0126">
        <w:rPr>
          <w:color w:val="000000"/>
          <w:lang w:val="es-MX"/>
        </w:rPr>
        <w:t>relación entre el equilibrio y los balances que gobiernan el cálculo de la columna (</w:t>
      </w:r>
      <w:proofErr w:type="spellStart"/>
      <w:r w:rsidRPr="004C0126">
        <w:rPr>
          <w:color w:val="000000"/>
          <w:lang w:val="es-MX"/>
        </w:rPr>
        <w:t>Wankat</w:t>
      </w:r>
      <w:proofErr w:type="spellEnd"/>
      <w:r w:rsidRPr="004C0126">
        <w:rPr>
          <w:color w:val="000000"/>
          <w:lang w:val="es-MX"/>
        </w:rPr>
        <w:t>, 2008, p. 97 y sec. 4.15, p. 140).</w:t>
      </w:r>
    </w:p>
    <w:p w14:paraId="545D4442" w14:textId="77777777" w:rsidR="00BC1377" w:rsidRPr="004C0126" w:rsidRDefault="00000000">
      <w:pPr>
        <w:spacing w:after="160" w:line="360" w:lineRule="auto"/>
        <w:jc w:val="both"/>
        <w:rPr>
          <w:lang w:val="es-MX"/>
        </w:rPr>
      </w:pPr>
      <w:r w:rsidRPr="004C0126">
        <w:rPr>
          <w:color w:val="000000"/>
          <w:lang w:val="es-MX"/>
        </w:rPr>
        <w:t xml:space="preserve">El empleo de herramientas computacionales resulta especialmente pertinente cuando deben calcularse numerosas etapas, resolverse problemas por tanteo o compararse varios casos. Sin embargo, automatizar las operaciones numéricas no elimina las restricciones del modelo ni aumenta por sí mismo la exactitud de los datos de equilibrio. </w:t>
      </w:r>
      <w:proofErr w:type="spellStart"/>
      <w:r w:rsidRPr="004C0126">
        <w:rPr>
          <w:color w:val="000000"/>
          <w:lang w:val="es-MX"/>
        </w:rPr>
        <w:t>Wankat</w:t>
      </w:r>
      <w:proofErr w:type="spellEnd"/>
      <w:r w:rsidRPr="004C0126">
        <w:rPr>
          <w:color w:val="000000"/>
          <w:lang w:val="es-MX"/>
        </w:rPr>
        <w:t xml:space="preserve"> señala que la conveniencia del cálculo en computadora debe distinguirse de la precisión que puede alcanzarse con la información termodinámica disponible. Esta distinción sus</w:t>
      </w:r>
      <w:r w:rsidRPr="004C0126">
        <w:rPr>
          <w:color w:val="000000"/>
          <w:lang w:val="es-MX"/>
        </w:rPr>
        <w:t>tenta la necesidad de acompañar los resultados con una representación comprensible del procedimiento y de sus supuestos (</w:t>
      </w:r>
      <w:proofErr w:type="spellStart"/>
      <w:r w:rsidRPr="004C0126">
        <w:rPr>
          <w:color w:val="000000"/>
          <w:lang w:val="es-MX"/>
        </w:rPr>
        <w:t>Wankat</w:t>
      </w:r>
      <w:proofErr w:type="spellEnd"/>
      <w:r w:rsidRPr="004C0126">
        <w:rPr>
          <w:color w:val="000000"/>
          <w:lang w:val="es-MX"/>
        </w:rPr>
        <w:t>, 2008, p. 140).</w:t>
      </w:r>
    </w:p>
    <w:p w14:paraId="19108CA5" w14:textId="77777777" w:rsidR="00BC1377" w:rsidRPr="004C0126" w:rsidRDefault="00000000">
      <w:pPr>
        <w:spacing w:after="160" w:line="360" w:lineRule="auto"/>
        <w:jc w:val="both"/>
        <w:rPr>
          <w:lang w:val="es-MX"/>
        </w:rPr>
      </w:pPr>
      <w:r w:rsidRPr="004C0126">
        <w:rPr>
          <w:color w:val="000000"/>
          <w:lang w:val="es-MX"/>
        </w:rPr>
        <w:t>Existen antecedentes académicos que abordan la presentación y la automatización de estos métodos. En la Universidad Nacional Autónoma de México, Cortés Castañeda (2003, p. 2) desarrolló una tesis orientada a explicar la aplicación de McCabe–Thiele a diferentes configuraciones de destilación binaria continua mediante la solución de problemas. Su objetivo incluyó ofrecer un material de apoyo para la enseñanza y el aprendizaje, así como mostrar la utilidad del método para una primera estimación del número de p</w:t>
      </w:r>
      <w:r w:rsidRPr="004C0126">
        <w:rPr>
          <w:color w:val="000000"/>
          <w:lang w:val="es-MX"/>
        </w:rPr>
        <w:t>latos ideales.</w:t>
      </w:r>
    </w:p>
    <w:p w14:paraId="2AF0424D" w14:textId="77777777" w:rsidR="00BC1377" w:rsidRPr="004C0126" w:rsidRDefault="00000000">
      <w:pPr>
        <w:spacing w:after="160" w:line="360" w:lineRule="auto"/>
        <w:jc w:val="both"/>
        <w:rPr>
          <w:lang w:val="es-MX"/>
        </w:rPr>
      </w:pPr>
      <w:r w:rsidRPr="004C0126">
        <w:rPr>
          <w:color w:val="000000"/>
          <w:lang w:val="es-MX"/>
        </w:rPr>
        <w:t xml:space="preserve">Por su parte, </w:t>
      </w:r>
      <w:proofErr w:type="spellStart"/>
      <w:r w:rsidRPr="004C0126">
        <w:rPr>
          <w:color w:val="000000"/>
          <w:lang w:val="es-MX"/>
        </w:rPr>
        <w:t>Gonzalez</w:t>
      </w:r>
      <w:proofErr w:type="spellEnd"/>
      <w:r w:rsidRPr="004C0126">
        <w:rPr>
          <w:color w:val="000000"/>
          <w:lang w:val="es-MX"/>
        </w:rPr>
        <w:t xml:space="preserve"> Baltazar (2024, p. 15) planteó en el Tecnológico de Estudios Superiores de Coacalco la adaptación y programación de un algoritmo en Octave para calcular etapas teóricas mediante </w:t>
      </w:r>
      <w:proofErr w:type="spellStart"/>
      <w:r w:rsidRPr="004C0126">
        <w:rPr>
          <w:color w:val="000000"/>
          <w:lang w:val="es-MX"/>
        </w:rPr>
        <w:t>Ponchon</w:t>
      </w:r>
      <w:proofErr w:type="spellEnd"/>
      <w:r w:rsidRPr="004C0126">
        <w:rPr>
          <w:color w:val="000000"/>
          <w:lang w:val="es-MX"/>
        </w:rPr>
        <w:t>–</w:t>
      </w:r>
      <w:proofErr w:type="spellStart"/>
      <w:r w:rsidRPr="004C0126">
        <w:rPr>
          <w:color w:val="000000"/>
          <w:lang w:val="es-MX"/>
        </w:rPr>
        <w:t>Savarit</w:t>
      </w:r>
      <w:proofErr w:type="spellEnd"/>
      <w:r w:rsidRPr="004C0126">
        <w:rPr>
          <w:color w:val="000000"/>
          <w:lang w:val="es-MX"/>
        </w:rPr>
        <w:t>. Entre sus objetivos incluyó la generación de las gráficas necesarias, la descripción del procedimiento de ejecución y la resolución de ejemplos con datos de equilibrio y entalpía. Ambos trabajos constituyen antecedentes de la elaboración de recursos explicativos y computacionales para el estud</w:t>
      </w:r>
      <w:r w:rsidRPr="004C0126">
        <w:rPr>
          <w:color w:val="000000"/>
          <w:lang w:val="es-MX"/>
        </w:rPr>
        <w:t xml:space="preserve">io de la destilación, con enfoques y métodos específicos (Cortés Castañeda, 2003, p. 2; </w:t>
      </w:r>
      <w:proofErr w:type="spellStart"/>
      <w:r w:rsidRPr="004C0126">
        <w:rPr>
          <w:color w:val="000000"/>
          <w:lang w:val="es-MX"/>
        </w:rPr>
        <w:t>Gonzalez</w:t>
      </w:r>
      <w:proofErr w:type="spellEnd"/>
      <w:r w:rsidRPr="004C0126">
        <w:rPr>
          <w:color w:val="000000"/>
          <w:lang w:val="es-MX"/>
        </w:rPr>
        <w:t xml:space="preserve"> Baltazar, 2024, p. 15).</w:t>
      </w:r>
    </w:p>
    <w:p w14:paraId="5E2C4BD4" w14:textId="77777777" w:rsidR="00BC1377" w:rsidRPr="004C0126" w:rsidRDefault="00000000">
      <w:pPr>
        <w:spacing w:after="160" w:line="360" w:lineRule="auto"/>
        <w:jc w:val="both"/>
        <w:rPr>
          <w:lang w:val="es-MX"/>
        </w:rPr>
      </w:pPr>
      <w:r w:rsidRPr="004C0126">
        <w:rPr>
          <w:color w:val="000000"/>
          <w:lang w:val="es-MX"/>
        </w:rPr>
        <w:lastRenderedPageBreak/>
        <w:t>En este contexto se sitúa la aplicación Procesos de separación por etapas, desarrollada en Python. Su implementación integra módulos para calcular el equilibrio binario ideal, el equilibrio no ideal mediante Van Laar y la destilación binaria por McCabe–Thiele. El módulo de destilación permite seleccionar el tratamiento ideal o no ideal de acuerdo con los componentes y los datos disponibles. La aplicación también incorpora la presentación de resultados y su exportación a PDF y Excel, funciones que vinculan e</w:t>
      </w:r>
      <w:r w:rsidRPr="004C0126">
        <w:rPr>
          <w:color w:val="000000"/>
          <w:lang w:val="es-MX"/>
        </w:rPr>
        <w:t>l cálculo con la consulta y conservación de la solución obtenida (The-C6H6, 2026).</w:t>
      </w:r>
    </w:p>
    <w:p w14:paraId="6465E545" w14:textId="77777777" w:rsidR="00BC1377" w:rsidRPr="004C0126" w:rsidRDefault="00000000">
      <w:pPr>
        <w:spacing w:after="160" w:line="360" w:lineRule="auto"/>
        <w:jc w:val="both"/>
        <w:rPr>
          <w:lang w:val="es-MX"/>
        </w:rPr>
      </w:pPr>
      <w:r w:rsidRPr="004C0126">
        <w:rPr>
          <w:color w:val="000000"/>
          <w:lang w:val="es-MX"/>
        </w:rPr>
        <w:t>La presente tesis se centra en el desarrollo de esta herramienta orientada a teléfonos para el análisis y la resolución de problemas de separación por etapas, con énfasis en el equilibrio líquido–vapor y la destilación binaria. El propósito es reunir el cálculo y la representación de sus resultados en un recurso que permita seguir la relación entre los fundamentos termodinámicos y el procedimiento de solución. Así, el trabajo se sitúa en la aplicación computacional de métodos establecidos, cuyo uso exige co</w:t>
      </w:r>
      <w:r w:rsidRPr="004C0126">
        <w:rPr>
          <w:color w:val="000000"/>
          <w:lang w:val="es-MX"/>
        </w:rPr>
        <w:t>nservar la correspondencia entre datos, hipótesis y resultados; esa correspondencia proporciona el criterio técnico para interpretar el alcance de la herramienta (</w:t>
      </w:r>
      <w:proofErr w:type="spellStart"/>
      <w:r w:rsidRPr="004C0126">
        <w:rPr>
          <w:color w:val="000000"/>
          <w:lang w:val="es-MX"/>
        </w:rPr>
        <w:t>Wankat</w:t>
      </w:r>
      <w:proofErr w:type="spellEnd"/>
      <w:r w:rsidRPr="004C0126">
        <w:rPr>
          <w:color w:val="000000"/>
          <w:lang w:val="es-MX"/>
        </w:rPr>
        <w:t>, 2008, pp. 97, 140; The-C6H6, 2026).</w:t>
      </w:r>
    </w:p>
    <w:p w14:paraId="34197F6E" w14:textId="77777777" w:rsidR="002E4671" w:rsidRPr="004C0126" w:rsidRDefault="002E4671" w:rsidP="002E4671">
      <w:pPr>
        <w:pStyle w:val="Ttulo1"/>
        <w:pageBreakBefore/>
        <w:spacing w:after="320"/>
        <w:rPr>
          <w:lang w:val="es-MX"/>
        </w:rPr>
      </w:pPr>
      <w:bookmarkStart w:id="1" w:name="_Toc242399112"/>
      <w:r w:rsidRPr="004C0126">
        <w:rPr>
          <w:rFonts w:ascii="Arial" w:hAnsi="Arial"/>
          <w:color w:val="000000"/>
          <w:sz w:val="32"/>
          <w:lang w:val="es-MX"/>
        </w:rPr>
        <w:lastRenderedPageBreak/>
        <w:t>Referencias bibliográficas</w:t>
      </w:r>
      <w:bookmarkEnd w:id="1"/>
    </w:p>
    <w:p w14:paraId="513A5FFF" w14:textId="77777777" w:rsidR="00BC1377" w:rsidRPr="004C0126" w:rsidRDefault="00000000">
      <w:pPr>
        <w:keepLines/>
        <w:spacing w:after="180"/>
        <w:ind w:left="425" w:hanging="425"/>
        <w:rPr>
          <w:lang w:val="es-MX"/>
        </w:rPr>
      </w:pPr>
      <w:r w:rsidRPr="004C0126">
        <w:rPr>
          <w:color w:val="000000"/>
          <w:lang w:val="es-MX"/>
        </w:rPr>
        <w:t xml:space="preserve">Cortés Castañeda, A. (2003). </w:t>
      </w:r>
      <w:r w:rsidRPr="004C0126">
        <w:rPr>
          <w:i/>
          <w:color w:val="000000"/>
          <w:lang w:val="es-MX"/>
        </w:rPr>
        <w:t>Diseño de un fascículo sobre el método de Mc. Cabe–Thiele</w:t>
      </w:r>
      <w:r w:rsidRPr="004C0126">
        <w:rPr>
          <w:color w:val="000000"/>
          <w:lang w:val="es-MX"/>
        </w:rPr>
        <w:t xml:space="preserve"> [Tesis de licenciatura en Ingeniería Química, Universidad Nacional Autónoma de México, Facultad de Química]. Pasaje citado: p. 2 (p. 9 del PDF). </w:t>
      </w:r>
      <w:hyperlink r:id="rId7">
        <w:r w:rsidRPr="004C0126">
          <w:rPr>
            <w:color w:val="000000"/>
            <w:u w:val="single"/>
            <w:lang w:val="es-MX"/>
          </w:rPr>
          <w:t>Texto completo en PDF</w:t>
        </w:r>
      </w:hyperlink>
    </w:p>
    <w:p w14:paraId="4781ACF4" w14:textId="77777777" w:rsidR="00BC1377" w:rsidRPr="004C0126" w:rsidRDefault="00000000">
      <w:pPr>
        <w:keepLines/>
        <w:spacing w:after="180"/>
        <w:ind w:left="425" w:hanging="425"/>
        <w:rPr>
          <w:lang w:val="es-MX"/>
        </w:rPr>
      </w:pPr>
      <w:proofErr w:type="spellStart"/>
      <w:r w:rsidRPr="004C0126">
        <w:rPr>
          <w:color w:val="000000"/>
          <w:lang w:val="es-MX"/>
        </w:rPr>
        <w:t>Gonzalez</w:t>
      </w:r>
      <w:proofErr w:type="spellEnd"/>
      <w:r w:rsidRPr="004C0126">
        <w:rPr>
          <w:color w:val="000000"/>
          <w:lang w:val="es-MX"/>
        </w:rPr>
        <w:t xml:space="preserve"> Baltazar, D. J. (2024). </w:t>
      </w:r>
      <w:r w:rsidRPr="004C0126">
        <w:rPr>
          <w:i/>
          <w:color w:val="000000"/>
          <w:lang w:val="es-MX"/>
        </w:rPr>
        <w:t xml:space="preserve">Desarrollo de un simulador para el cálculo de numero de etapas teóricas de una columna de destilación por el método de </w:t>
      </w:r>
      <w:proofErr w:type="spellStart"/>
      <w:r w:rsidRPr="004C0126">
        <w:rPr>
          <w:i/>
          <w:color w:val="000000"/>
          <w:lang w:val="es-MX"/>
        </w:rPr>
        <w:t>Ponchon</w:t>
      </w:r>
      <w:proofErr w:type="spellEnd"/>
      <w:r w:rsidRPr="004C0126">
        <w:rPr>
          <w:i/>
          <w:color w:val="000000"/>
          <w:lang w:val="es-MX"/>
        </w:rPr>
        <w:t>–</w:t>
      </w:r>
      <w:proofErr w:type="spellStart"/>
      <w:r w:rsidRPr="004C0126">
        <w:rPr>
          <w:i/>
          <w:color w:val="000000"/>
          <w:lang w:val="es-MX"/>
        </w:rPr>
        <w:t>Savarit</w:t>
      </w:r>
      <w:proofErr w:type="spellEnd"/>
      <w:r w:rsidRPr="004C0126">
        <w:rPr>
          <w:color w:val="000000"/>
          <w:lang w:val="es-MX"/>
        </w:rPr>
        <w:t xml:space="preserve"> [Proyecto de investigación para titulación en Ingeniería Química, Tecnológico de Estudios Superiores de Coacalco]. Pasaje citado: p. 15 (p. 15 del PDF). </w:t>
      </w:r>
      <w:hyperlink r:id="rId8">
        <w:r w:rsidRPr="004C0126">
          <w:rPr>
            <w:color w:val="000000"/>
            <w:u w:val="single"/>
            <w:lang w:val="es-MX"/>
          </w:rPr>
          <w:t>Repositorio institucional y PDF</w:t>
        </w:r>
      </w:hyperlink>
    </w:p>
    <w:p w14:paraId="54D4D505" w14:textId="77777777" w:rsidR="00BC1377" w:rsidRPr="004C0126" w:rsidRDefault="00000000">
      <w:pPr>
        <w:keepLines/>
        <w:spacing w:after="180"/>
        <w:ind w:left="425" w:hanging="425"/>
        <w:rPr>
          <w:lang w:val="es-MX"/>
        </w:rPr>
      </w:pPr>
      <w:r w:rsidRPr="004C0126">
        <w:rPr>
          <w:color w:val="000000"/>
          <w:lang w:val="es-MX"/>
        </w:rPr>
        <w:t xml:space="preserve">Seader, J. D., Henley, E. J., y Roper, D. K. (2011). </w:t>
      </w:r>
      <w:proofErr w:type="spellStart"/>
      <w:r w:rsidRPr="004C0126">
        <w:rPr>
          <w:i/>
          <w:color w:val="000000"/>
          <w:lang w:val="es-MX"/>
        </w:rPr>
        <w:t>Separation</w:t>
      </w:r>
      <w:proofErr w:type="spellEnd"/>
      <w:r w:rsidRPr="004C0126">
        <w:rPr>
          <w:i/>
          <w:color w:val="000000"/>
          <w:lang w:val="es-MX"/>
        </w:rPr>
        <w:t xml:space="preserve"> </w:t>
      </w:r>
      <w:proofErr w:type="spellStart"/>
      <w:r w:rsidRPr="004C0126">
        <w:rPr>
          <w:i/>
          <w:color w:val="000000"/>
          <w:lang w:val="es-MX"/>
        </w:rPr>
        <w:t>process</w:t>
      </w:r>
      <w:proofErr w:type="spellEnd"/>
      <w:r w:rsidRPr="004C0126">
        <w:rPr>
          <w:i/>
          <w:color w:val="000000"/>
          <w:lang w:val="es-MX"/>
        </w:rPr>
        <w:t xml:space="preserve"> </w:t>
      </w:r>
      <w:proofErr w:type="spellStart"/>
      <w:r w:rsidRPr="004C0126">
        <w:rPr>
          <w:i/>
          <w:color w:val="000000"/>
          <w:lang w:val="es-MX"/>
        </w:rPr>
        <w:t>principles</w:t>
      </w:r>
      <w:proofErr w:type="spellEnd"/>
      <w:r w:rsidRPr="004C0126">
        <w:rPr>
          <w:i/>
          <w:color w:val="000000"/>
          <w:lang w:val="es-MX"/>
        </w:rPr>
        <w:t xml:space="preserve">: Chemical and </w:t>
      </w:r>
      <w:proofErr w:type="spellStart"/>
      <w:r w:rsidRPr="004C0126">
        <w:rPr>
          <w:i/>
          <w:color w:val="000000"/>
          <w:lang w:val="es-MX"/>
        </w:rPr>
        <w:t>biochemical</w:t>
      </w:r>
      <w:proofErr w:type="spellEnd"/>
      <w:r w:rsidRPr="004C0126">
        <w:rPr>
          <w:i/>
          <w:color w:val="000000"/>
          <w:lang w:val="es-MX"/>
        </w:rPr>
        <w:t xml:space="preserve"> </w:t>
      </w:r>
      <w:proofErr w:type="spellStart"/>
      <w:r w:rsidRPr="004C0126">
        <w:rPr>
          <w:i/>
          <w:color w:val="000000"/>
          <w:lang w:val="es-MX"/>
        </w:rPr>
        <w:t>operations</w:t>
      </w:r>
      <w:proofErr w:type="spellEnd"/>
      <w:r w:rsidRPr="004C0126">
        <w:rPr>
          <w:color w:val="000000"/>
          <w:lang w:val="es-MX"/>
        </w:rPr>
        <w:t xml:space="preserve"> (3.ª ed.). John Wiley &amp; Sons. Pasajes citados: pp. 2, 40, 42 y 55–57 (pp. 30, 68, 70 y 83–85 del PDF). </w:t>
      </w:r>
      <w:hyperlink r:id="rId9">
        <w:r w:rsidRPr="004C0126">
          <w:rPr>
            <w:color w:val="000000"/>
            <w:u w:val="single"/>
            <w:lang w:val="es-MX"/>
          </w:rPr>
          <w:t>Ejemplar PDF consultado</w:t>
        </w:r>
      </w:hyperlink>
    </w:p>
    <w:p w14:paraId="03FD0C7E" w14:textId="77777777" w:rsidR="00BC1377" w:rsidRPr="004C0126" w:rsidRDefault="00000000">
      <w:pPr>
        <w:keepLines/>
        <w:spacing w:after="180"/>
        <w:ind w:left="425" w:hanging="425"/>
        <w:rPr>
          <w:lang w:val="es-MX"/>
        </w:rPr>
      </w:pPr>
      <w:r w:rsidRPr="004C0126">
        <w:rPr>
          <w:color w:val="000000"/>
          <w:lang w:val="es-MX"/>
        </w:rPr>
        <w:t xml:space="preserve">The-C6H6. (2026). </w:t>
      </w:r>
      <w:r w:rsidRPr="004C0126">
        <w:rPr>
          <w:i/>
          <w:color w:val="000000"/>
          <w:lang w:val="es-MX"/>
        </w:rPr>
        <w:t>Procesos de separación por etapas</w:t>
      </w:r>
      <w:r w:rsidRPr="004C0126">
        <w:rPr>
          <w:color w:val="000000"/>
          <w:lang w:val="es-MX"/>
        </w:rPr>
        <w:t xml:space="preserve"> [Código fuente en Python]. GitHub. Versión aa360d3, del 1 de octubre de 2026. Archivos consultados: </w:t>
      </w:r>
      <w:proofErr w:type="spellStart"/>
      <w:r w:rsidRPr="004C0126">
        <w:rPr>
          <w:color w:val="000000"/>
          <w:lang w:val="es-MX"/>
        </w:rPr>
        <w:t>src</w:t>
      </w:r>
      <w:proofErr w:type="spellEnd"/>
      <w:r w:rsidRPr="004C0126">
        <w:rPr>
          <w:color w:val="000000"/>
          <w:lang w:val="es-MX"/>
        </w:rPr>
        <w:t xml:space="preserve">/main.py; presentation/app.py y los casos de uso de </w:t>
      </w:r>
      <w:proofErr w:type="spellStart"/>
      <w:r w:rsidRPr="004C0126">
        <w:rPr>
          <w:color w:val="000000"/>
          <w:lang w:val="es-MX"/>
        </w:rPr>
        <w:t>features</w:t>
      </w:r>
      <w:proofErr w:type="spellEnd"/>
      <w:r w:rsidRPr="004C0126">
        <w:rPr>
          <w:color w:val="000000"/>
          <w:lang w:val="es-MX"/>
        </w:rPr>
        <w:t xml:space="preserve">/ideal, </w:t>
      </w:r>
      <w:proofErr w:type="spellStart"/>
      <w:r w:rsidRPr="004C0126">
        <w:rPr>
          <w:color w:val="000000"/>
          <w:lang w:val="es-MX"/>
        </w:rPr>
        <w:t>features</w:t>
      </w:r>
      <w:proofErr w:type="spellEnd"/>
      <w:r w:rsidRPr="004C0126">
        <w:rPr>
          <w:color w:val="000000"/>
          <w:lang w:val="es-MX"/>
        </w:rPr>
        <w:t>/</w:t>
      </w:r>
      <w:proofErr w:type="spellStart"/>
      <w:r w:rsidRPr="004C0126">
        <w:rPr>
          <w:color w:val="000000"/>
          <w:lang w:val="es-MX"/>
        </w:rPr>
        <w:t>nonideal</w:t>
      </w:r>
      <w:proofErr w:type="spellEnd"/>
      <w:r w:rsidRPr="004C0126">
        <w:rPr>
          <w:color w:val="000000"/>
          <w:lang w:val="es-MX"/>
        </w:rPr>
        <w:t xml:space="preserve"> y </w:t>
      </w:r>
      <w:proofErr w:type="spellStart"/>
      <w:r w:rsidRPr="004C0126">
        <w:rPr>
          <w:color w:val="000000"/>
          <w:lang w:val="es-MX"/>
        </w:rPr>
        <w:t>features</w:t>
      </w:r>
      <w:proofErr w:type="spellEnd"/>
      <w:r w:rsidRPr="004C0126">
        <w:rPr>
          <w:color w:val="000000"/>
          <w:lang w:val="es-MX"/>
        </w:rPr>
        <w:t>/</w:t>
      </w:r>
      <w:proofErr w:type="spellStart"/>
      <w:r w:rsidRPr="004C0126">
        <w:rPr>
          <w:color w:val="000000"/>
          <w:lang w:val="es-MX"/>
        </w:rPr>
        <w:t>mccabe_thiele</w:t>
      </w:r>
      <w:proofErr w:type="spellEnd"/>
      <w:r w:rsidRPr="004C0126">
        <w:rPr>
          <w:color w:val="000000"/>
          <w:lang w:val="es-MX"/>
        </w:rPr>
        <w:t xml:space="preserve"> dentro de </w:t>
      </w:r>
      <w:proofErr w:type="spellStart"/>
      <w:r w:rsidRPr="004C0126">
        <w:rPr>
          <w:color w:val="000000"/>
          <w:lang w:val="es-MX"/>
        </w:rPr>
        <w:t>src</w:t>
      </w:r>
      <w:proofErr w:type="spellEnd"/>
      <w:r w:rsidRPr="004C0126">
        <w:rPr>
          <w:color w:val="000000"/>
          <w:lang w:val="es-MX"/>
        </w:rPr>
        <w:t>/</w:t>
      </w:r>
      <w:proofErr w:type="spellStart"/>
      <w:r w:rsidRPr="004C0126">
        <w:rPr>
          <w:color w:val="000000"/>
          <w:lang w:val="es-MX"/>
        </w:rPr>
        <w:t>destilacion_playstore</w:t>
      </w:r>
      <w:proofErr w:type="spellEnd"/>
      <w:r w:rsidRPr="004C0126">
        <w:rPr>
          <w:color w:val="000000"/>
          <w:lang w:val="es-MX"/>
        </w:rPr>
        <w:t xml:space="preserve">/. </w:t>
      </w:r>
      <w:hyperlink r:id="rId10">
        <w:r w:rsidRPr="004C0126">
          <w:rPr>
            <w:color w:val="000000"/>
            <w:u w:val="single"/>
            <w:lang w:val="es-MX"/>
          </w:rPr>
          <w:t>Versión del código consultada</w:t>
        </w:r>
      </w:hyperlink>
    </w:p>
    <w:p w14:paraId="1DD4F1ED" w14:textId="77777777" w:rsidR="00BC1377" w:rsidRPr="004C0126" w:rsidRDefault="00000000">
      <w:pPr>
        <w:keepLines/>
        <w:spacing w:after="180"/>
        <w:ind w:left="425" w:hanging="425"/>
        <w:rPr>
          <w:lang w:val="es-MX"/>
        </w:rPr>
      </w:pPr>
      <w:r w:rsidRPr="004C0126">
        <w:rPr>
          <w:color w:val="000000"/>
          <w:lang w:val="es-MX"/>
        </w:rPr>
        <w:t xml:space="preserve">Treybal, R. E. (s. f.). </w:t>
      </w:r>
      <w:r w:rsidRPr="004C0126">
        <w:rPr>
          <w:i/>
          <w:color w:val="000000"/>
          <w:lang w:val="es-MX"/>
        </w:rPr>
        <w:t>Operaciones de transferencia de masa</w:t>
      </w:r>
      <w:r w:rsidRPr="004C0126">
        <w:rPr>
          <w:color w:val="000000"/>
          <w:lang w:val="es-MX"/>
        </w:rPr>
        <w:t xml:space="preserve"> (2.ª ed.; A. García Rodríguez, trad.). McGraw-Hill. Pasajes citados: pp. 2–4 y 140–143 (pp. 10–12 y 146–149 del PDF). </w:t>
      </w:r>
      <w:hyperlink r:id="rId11">
        <w:r w:rsidRPr="004C0126">
          <w:rPr>
            <w:color w:val="000000"/>
            <w:u w:val="single"/>
            <w:lang w:val="es-MX"/>
          </w:rPr>
          <w:t>Ejemplar PDF consultado</w:t>
        </w:r>
      </w:hyperlink>
    </w:p>
    <w:p w14:paraId="0D51D4C3" w14:textId="77777777" w:rsidR="00BC1377" w:rsidRPr="004C0126" w:rsidRDefault="00000000">
      <w:pPr>
        <w:keepLines/>
        <w:spacing w:after="180"/>
        <w:ind w:left="425" w:hanging="425"/>
        <w:rPr>
          <w:lang w:val="es-MX"/>
        </w:rPr>
      </w:pPr>
      <w:proofErr w:type="spellStart"/>
      <w:r w:rsidRPr="004C0126">
        <w:rPr>
          <w:color w:val="000000"/>
          <w:lang w:val="es-MX"/>
        </w:rPr>
        <w:t>Wankat</w:t>
      </w:r>
      <w:proofErr w:type="spellEnd"/>
      <w:r w:rsidRPr="004C0126">
        <w:rPr>
          <w:color w:val="000000"/>
          <w:lang w:val="es-MX"/>
        </w:rPr>
        <w:t xml:space="preserve">, P. C. (2008). </w:t>
      </w:r>
      <w:r w:rsidRPr="004C0126">
        <w:rPr>
          <w:i/>
          <w:color w:val="000000"/>
          <w:lang w:val="es-MX"/>
        </w:rPr>
        <w:t>Ingeniería de procesos de separación</w:t>
      </w:r>
      <w:r w:rsidRPr="004C0126">
        <w:rPr>
          <w:color w:val="000000"/>
          <w:lang w:val="es-MX"/>
        </w:rPr>
        <w:t xml:space="preserve"> (2.ª ed.). Pearson Educación. Pasajes citados: pp. 1–2, 97 y 140 (pp. 30–31, 126 y 169 del PDF). </w:t>
      </w:r>
      <w:hyperlink r:id="rId12">
        <w:r w:rsidRPr="004C0126">
          <w:rPr>
            <w:color w:val="000000"/>
            <w:u w:val="single"/>
            <w:lang w:val="es-MX"/>
          </w:rPr>
          <w:t>Ejemplar PDF consultado</w:t>
        </w:r>
      </w:hyperlink>
    </w:p>
    <w:sectPr w:rsidR="00BC1377" w:rsidRPr="004C01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3C7"/>
    <w:rsid w:val="000C4F0E"/>
    <w:rsid w:val="000F3595"/>
    <w:rsid w:val="0012667A"/>
    <w:rsid w:val="00134433"/>
    <w:rsid w:val="001934CD"/>
    <w:rsid w:val="001C131C"/>
    <w:rsid w:val="002E4671"/>
    <w:rsid w:val="004C0126"/>
    <w:rsid w:val="00593B12"/>
    <w:rsid w:val="005C6BE1"/>
    <w:rsid w:val="0066646D"/>
    <w:rsid w:val="006A4563"/>
    <w:rsid w:val="007B45EE"/>
    <w:rsid w:val="009D3745"/>
    <w:rsid w:val="00A7519C"/>
    <w:rsid w:val="00AD63C7"/>
    <w:rsid w:val="00B92B46"/>
    <w:rsid w:val="00BC1377"/>
    <w:rsid w:val="00C717FF"/>
    <w:rsid w:val="00CC4967"/>
    <w:rsid w:val="00D21419"/>
    <w:rsid w:val="00DD2E7F"/>
    <w:rsid w:val="00E04057"/>
    <w:rsid w:val="00E558A2"/>
    <w:rsid w:val="00EE307C"/>
    <w:rsid w:val="00F92A0A"/>
    <w:rsid w:val="00FA1A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CBF8"/>
  <w15:chartTrackingRefBased/>
  <w15:docId w15:val="{D24FEA69-0141-4C24-BAB9-E4CDB34E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C7"/>
    <w:pPr>
      <w:spacing w:after="200" w:line="276" w:lineRule="auto"/>
    </w:pPr>
    <w:rPr>
      <w:rFonts w:ascii="Arial" w:eastAsiaTheme="minorEastAsia" w:hAnsi="Arial"/>
      <w:kern w:val="0"/>
      <w:sz w:val="22"/>
      <w:szCs w:val="22"/>
      <w:lang w:val="en-US"/>
      <w14:ligatures w14:val="none"/>
    </w:rPr>
  </w:style>
  <w:style w:type="paragraph" w:styleId="Ttulo1">
    <w:name w:val="heading 1"/>
    <w:basedOn w:val="Normal"/>
    <w:next w:val="Normal"/>
    <w:link w:val="Ttulo1Car"/>
    <w:uiPriority w:val="9"/>
    <w:qFormat/>
    <w:rsid w:val="00AD6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6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63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63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63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63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63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63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63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63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3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3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63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3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3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3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3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3C7"/>
    <w:rPr>
      <w:rFonts w:eastAsiaTheme="majorEastAsia" w:cstheme="majorBidi"/>
      <w:color w:val="272727" w:themeColor="text1" w:themeTint="D8"/>
    </w:rPr>
  </w:style>
  <w:style w:type="paragraph" w:styleId="Ttulo">
    <w:name w:val="Title"/>
    <w:basedOn w:val="Normal"/>
    <w:next w:val="Normal"/>
    <w:link w:val="TtuloCar"/>
    <w:uiPriority w:val="10"/>
    <w:qFormat/>
    <w:rsid w:val="00AD6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6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3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63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3C7"/>
    <w:pPr>
      <w:spacing w:before="160"/>
      <w:jc w:val="center"/>
    </w:pPr>
    <w:rPr>
      <w:i/>
      <w:iCs/>
      <w:color w:val="404040" w:themeColor="text1" w:themeTint="BF"/>
    </w:rPr>
  </w:style>
  <w:style w:type="character" w:customStyle="1" w:styleId="CitaCar">
    <w:name w:val="Cita Car"/>
    <w:basedOn w:val="Fuentedeprrafopredeter"/>
    <w:link w:val="Cita"/>
    <w:uiPriority w:val="29"/>
    <w:rsid w:val="00AD63C7"/>
    <w:rPr>
      <w:i/>
      <w:iCs/>
      <w:color w:val="404040" w:themeColor="text1" w:themeTint="BF"/>
    </w:rPr>
  </w:style>
  <w:style w:type="paragraph" w:styleId="Prrafodelista">
    <w:name w:val="List Paragraph"/>
    <w:basedOn w:val="Normal"/>
    <w:uiPriority w:val="34"/>
    <w:qFormat/>
    <w:rsid w:val="00AD63C7"/>
    <w:pPr>
      <w:ind w:left="720"/>
      <w:contextualSpacing/>
    </w:pPr>
  </w:style>
  <w:style w:type="character" w:styleId="nfasisintenso">
    <w:name w:val="Intense Emphasis"/>
    <w:basedOn w:val="Fuentedeprrafopredeter"/>
    <w:uiPriority w:val="21"/>
    <w:qFormat/>
    <w:rsid w:val="00AD63C7"/>
    <w:rPr>
      <w:i/>
      <w:iCs/>
      <w:color w:val="0F4761" w:themeColor="accent1" w:themeShade="BF"/>
    </w:rPr>
  </w:style>
  <w:style w:type="paragraph" w:styleId="Citadestacada">
    <w:name w:val="Intense Quote"/>
    <w:basedOn w:val="Normal"/>
    <w:next w:val="Normal"/>
    <w:link w:val="CitadestacadaCar"/>
    <w:uiPriority w:val="30"/>
    <w:qFormat/>
    <w:rsid w:val="00AD6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63C7"/>
    <w:rPr>
      <w:i/>
      <w:iCs/>
      <w:color w:val="0F4761" w:themeColor="accent1" w:themeShade="BF"/>
    </w:rPr>
  </w:style>
  <w:style w:type="character" w:styleId="Referenciaintensa">
    <w:name w:val="Intense Reference"/>
    <w:basedOn w:val="Fuentedeprrafopredeter"/>
    <w:uiPriority w:val="32"/>
    <w:qFormat/>
    <w:rsid w:val="00AD63C7"/>
    <w:rPr>
      <w:b/>
      <w:bCs/>
      <w:smallCaps/>
      <w:color w:val="0F4761" w:themeColor="accent1" w:themeShade="BF"/>
      <w:spacing w:val="5"/>
    </w:rPr>
  </w:style>
  <w:style w:type="paragraph" w:styleId="TtuloTDC">
    <w:name w:val="TOC Heading"/>
    <w:basedOn w:val="Ttulo1"/>
    <w:next w:val="Normal"/>
    <w:uiPriority w:val="39"/>
    <w:unhideWhenUsed/>
    <w:qFormat/>
    <w:rsid w:val="00E04057"/>
    <w:pPr>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E04057"/>
    <w:pPr>
      <w:spacing w:after="100"/>
    </w:pPr>
  </w:style>
  <w:style w:type="character" w:styleId="Hipervnculo">
    <w:name w:val="Hyperlink"/>
    <w:basedOn w:val="Fuentedeprrafopredeter"/>
    <w:uiPriority w:val="99"/>
    <w:unhideWhenUsed/>
    <w:rsid w:val="00E0405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nacional.tecnm.mx/handle/TecNM/1232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siunamdocumentos.dgb.unam.mx/ppt2002/0323188/0323188.pdf" TargetMode="External"/><Relationship Id="rId12" Type="http://schemas.openxmlformats.org/officeDocument/2006/relationships/hyperlink" Target="file:///C:/Users/C6H6_/OneDrive/Documentos/IPN/DESTI/CLASES/Wankat%20en%20Espa%C3%B1ol.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hyperlink" Target="file:///C:/Users/C6H6_/OneDrive/Documentos/IPN/DESTI/CLASES/Operaciones_de_transferencia_de_masa_Rob%20traybal.pdf" TargetMode="External"/><Relationship Id="rId5" Type="http://schemas.openxmlformats.org/officeDocument/2006/relationships/image" Target="media/image1.png"/><Relationship Id="rId10" Type="http://schemas.openxmlformats.org/officeDocument/2006/relationships/hyperlink" Target="https://github.com/The-C6H6/Procesos-de-separacion-por-etapas/tree/aa360d3fbdae6a91c955861cd2ec13861809b16b" TargetMode="External"/><Relationship Id="rId4" Type="http://schemas.openxmlformats.org/officeDocument/2006/relationships/webSettings" Target="webSettings.xml"/><Relationship Id="rId9" Type="http://schemas.openxmlformats.org/officeDocument/2006/relationships/hyperlink" Target="file:///C:/Users/C6H6_/OneDrive/Documentos/IPN/DESTI/CLASES/separation%20process%20principles%20%283rd%20ed.%29%20-%20j.d.%20seader%2C%20ernest%20j.%20henley%20and%20d.%20keith%20roper.pdf"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2DDA6-A66D-427E-AE7C-4F58F07E7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1444</Words>
  <Characters>7943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C6H6 X</dc:creator>
  <cp:keywords/>
  <dc:description/>
  <cp:lastModifiedBy>Diego Vazquez Perez</cp:lastModifiedBy>
  <cp:revision>21</cp:revision>
  <cp:lastPrinted>2026-09-26T02:17:00Z</cp:lastPrinted>
  <dcterms:created xsi:type="dcterms:W3CDTF">2026-09-26T01:27:00Z</dcterms:created>
  <dcterms:modified xsi:type="dcterms:W3CDTF">2026-10-09T06:52:00Z</dcterms:modified>
  <dc:language>es-MX</dc:language>
</cp:coreProperties>
</file>