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Location</w:t>
      </w:r>
      <w:r>
        <w:t xml:space="preserve"> </w:t>
      </w:r>
      <w:r>
        <w:t xml:space="preserve">resolution</w:t>
      </w:r>
      <w:r>
        <w:t xml:space="preserve"> </w:t>
      </w:r>
      <w:r>
        <w:t xml:space="preserve">rule</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LOCATION-RESOLUTION.md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35" w:name="location-resolution"/>
    <w:p>
      <w:pPr>
        <w:pStyle w:val="Heading1"/>
      </w:pPr>
      <w:r>
        <w:t xml:space="preserve">Location resolution</w:t>
      </w:r>
    </w:p>
    <w:p>
      <w:pPr>
        <w:pStyle w:val="FirstParagraph"/>
      </w:pPr>
      <w:r>
        <w:rPr>
          <w:bCs/>
          <w:b/>
        </w:rPr>
        <w:t xml:space="preserve">Status:</w:t>
      </w:r>
      <w:r>
        <w:t xml:space="preserve"> </w:t>
      </w:r>
      <w:r>
        <w:t xml:space="preserve">Normative, enforced. Proposed as GFN specification section 7.4 for v0.2. Written and implemented 2026-09-04.</w:t>
      </w:r>
      <w:r>
        <w:t xml:space="preserve"> </w:t>
      </w:r>
      <w:r>
        <w:rPr>
          <w:bCs/>
          <w:b/>
        </w:rPr>
        <w:t xml:space="preserve">Closes:</w:t>
      </w:r>
      <w:r>
        <w:t xml:space="preserve"> </w:t>
      </w:r>
      <w:r>
        <w:t xml:space="preserve">SECURITY-REVIEW finding L5. Blocks</w:t>
      </w:r>
      <w:r>
        <w:t xml:space="preserve"> </w:t>
      </w:r>
      <w:r>
        <w:rPr>
          <w:rStyle w:val="VerbatimChar"/>
        </w:rPr>
        <w:t xml:space="preserve">PROFILE-CALIFORNIA.md</w:t>
      </w:r>
      <w:r>
        <w:t xml:space="preserve">.</w:t>
      </w:r>
      <w:r>
        <w:t xml:space="preserve"> </w:t>
      </w:r>
      <w:r>
        <w:rPr>
          <w:bCs/>
          <w:b/>
        </w:rPr>
        <w:t xml:space="preserve">Depends on:</w:t>
      </w:r>
      <w:r>
        <w:t xml:space="preserve"> </w:t>
      </w:r>
      <w:r>
        <w:t xml:space="preserve">GFN-0.1-specification.md sections 5.3, 5.4, 7.1, 7.2, 8.4, 9, 11.6, 12.</w:t>
      </w:r>
    </w:p>
    <w:bookmarkStart w:id="20" w:name="X6d0aaae8cae1dd5305b2ebecd3de5e37f561f25"/>
    <w:p>
      <w:pPr>
        <w:pStyle w:val="Heading2"/>
      </w:pPr>
      <w:r>
        <w:t xml:space="preserve">1. The problem this exists to solve</w:t>
      </w:r>
    </w:p>
    <w:p>
      <w:pPr>
        <w:pStyle w:val="FirstParagraph"/>
      </w:pPr>
      <w:r>
        <w:t xml:space="preserve">GFN 7.1 makes</w:t>
      </w:r>
      <w:r>
        <w:t xml:space="preserve"> </w:t>
      </w:r>
      <w:r>
        <w:rPr>
          <w:rStyle w:val="VerbatimChar"/>
        </w:rPr>
        <w:t xml:space="preserve">zones[].geometry</w:t>
      </w:r>
      <w:r>
        <w:t xml:space="preserve"> </w:t>
      </w:r>
      <w:r>
        <w:t xml:space="preserve">a MUST. Every safety control in the specification is built on that assumption. The area ceilings in 5.3 are expressed in square kilometres. Jurisdictional containment in 5.4 is a geometric test and is described there as the primary defense against a compromised small-agency credential closing a metropolitan area. Neither can run on a message that does not carry a shape.</w:t>
      </w:r>
    </w:p>
    <w:p>
      <w:pPr>
        <w:pStyle w:val="BodyText"/>
      </w:pPr>
      <w:r>
        <w:t xml:space="preserve">Some jurisdictions do not require one. California's 13 CCR 227.02(cc) defines a conforming emergency geofencing message as one that identifies a location "using a street address, intersection, coordinates, or any other reasonable and customary way of identifying a location." A dispatcher who says "Valencia and 19th, keep them out" has issued a message that California law obliges a manufacturer to act on within two minutes, and that GFN as written cannot represent, bound, or contain.</w:t>
      </w:r>
    </w:p>
    <w:p>
      <w:pPr>
        <w:pStyle w:val="BodyText"/>
      </w:pPr>
      <w:r>
        <w:t xml:space="preserve">The naive fix is for each receiver to geocode the string and draw something. That is the failure this document exists to prevent. If the receiver picks the area, then the receiver is choosing the size of the closure, the tier system no longer bounds anything, containment no longer bounds anything, and two conforming fleets given the same words restrict different cities. Worse, whoever controls the string controls the area, so an unauthenticated message becomes an unbounded one.</w:t>
      </w:r>
    </w:p>
    <w:p>
      <w:pPr>
        <w:pStyle w:val="BodyText"/>
      </w:pPr>
      <w:r>
        <w:t xml:space="preserve">The rule below keeps the safety controls attached by making resolution explicit, bounded, auditable, and refusable.</w:t>
      </w:r>
    </w:p>
    <w:bookmarkEnd w:id="20"/>
    <w:bookmarkStart w:id="21" w:name="Xc2631108e70ae71e611b1df72cf1c7add459919"/>
    <w:p>
      <w:pPr>
        <w:pStyle w:val="Heading2"/>
      </w:pPr>
      <w:r>
        <w:t xml:space="preserve">2. Definitions</w:t>
      </w:r>
    </w:p>
    <w:p>
      <w:pPr>
        <w:pStyle w:val="FirstParagraph"/>
      </w:pPr>
      <w:r>
        <w:rPr>
          <w:bCs/>
          <w:b/>
        </w:rPr>
        <w:t xml:space="preserve">Location identifier.</w:t>
      </w:r>
      <w:r>
        <w:t xml:space="preserve"> </w:t>
      </w:r>
      <w:r>
        <w:t xml:space="preserve">A non-geometric description of a place supplied by an issuer: a street address, an intersection, a block range, a named facility, or a bare coordinate pair.</w:t>
      </w:r>
    </w:p>
    <w:p>
      <w:pPr>
        <w:pStyle w:val="BodyText"/>
      </w:pPr>
      <w:r>
        <w:rPr>
          <w:bCs/>
          <w:b/>
        </w:rPr>
        <w:t xml:space="preserve">Resolved zone.</w:t>
      </w:r>
      <w:r>
        <w:t xml:space="preserve"> </w:t>
      </w:r>
      <w:r>
        <w:t xml:space="preserve">A</w:t>
      </w:r>
      <w:r>
        <w:t xml:space="preserve"> </w:t>
      </w:r>
      <w:r>
        <w:rPr>
          <w:rStyle w:val="VerbatimChar"/>
        </w:rPr>
        <w:t xml:space="preserve">zones[]</w:t>
      </w:r>
      <w:r>
        <w:t xml:space="preserve"> </w:t>
      </w:r>
      <w:r>
        <w:t xml:space="preserve">entry whose</w:t>
      </w:r>
      <w:r>
        <w:t xml:space="preserve"> </w:t>
      </w:r>
      <w:r>
        <w:rPr>
          <w:rStyle w:val="VerbatimChar"/>
        </w:rPr>
        <w:t xml:space="preserve">geometry</w:t>
      </w:r>
      <w:r>
        <w:t xml:space="preserve"> </w:t>
      </w:r>
      <w:r>
        <w:t xml:space="preserve">was synthesized by a gateway or receiver from a location identifier rather than drawn by the issuer.</w:t>
      </w:r>
    </w:p>
    <w:p>
      <w:pPr>
        <w:pStyle w:val="BodyText"/>
      </w:pPr>
      <w:r>
        <w:rPr>
          <w:bCs/>
          <w:b/>
        </w:rPr>
        <w:t xml:space="preserve">Resolver.</w:t>
      </w:r>
      <w:r>
        <w:t xml:space="preserve"> </w:t>
      </w:r>
      <w:r>
        <w:t xml:space="preserve">The component that performs the synthesis. It is named and versioned in the audit record because two resolvers will disagree and an after-action review has to be able to tell which one ran.</w:t>
      </w:r>
    </w:p>
    <w:bookmarkEnd w:id="21"/>
    <w:bookmarkStart w:id="32" w:name="Xab28d234c3279b74240e6a36e64365e244278d5"/>
    <w:p>
      <w:pPr>
        <w:pStyle w:val="Heading2"/>
      </w:pPr>
      <w:r>
        <w:t xml:space="preserve">3. Rules</w:t>
      </w:r>
    </w:p>
    <w:bookmarkStart w:id="22" w:name="X63cbb53ee954a28a62b304adddcd75677655330"/>
    <w:p>
      <w:pPr>
        <w:pStyle w:val="Heading3"/>
      </w:pPr>
      <w:r>
        <w:t xml:space="preserve">3.1 Applicability</w:t>
      </w:r>
    </w:p>
    <w:p>
      <w:pPr>
        <w:pStyle w:val="FirstParagraph"/>
      </w:pPr>
      <w:r>
        <w:rPr>
          <w:bCs/>
          <w:b/>
        </w:rPr>
        <w:t xml:space="preserve">R-1.</w:t>
      </w:r>
      <w:r>
        <w:t xml:space="preserve"> </w:t>
      </w:r>
      <w:r>
        <w:t xml:space="preserve">A notice on the direct GFN path (11.1) MUST carry issuer-drawn geometry. Location resolution is not available there and a notice arriving without geometry is a</w:t>
      </w:r>
      <w:r>
        <w:t xml:space="preserve"> </w:t>
      </w:r>
      <w:r>
        <w:rPr>
          <w:rStyle w:val="VerbatimChar"/>
        </w:rPr>
        <w:t xml:space="preserve">MALFORMED_GEOMETRY</w:t>
      </w:r>
      <w:r>
        <w:t xml:space="preserve"> </w:t>
      </w:r>
      <w:r>
        <w:t xml:space="preserve">rejection, unchanged from v0.1.</w:t>
      </w:r>
    </w:p>
    <w:p>
      <w:pPr>
        <w:pStyle w:val="BodyText"/>
      </w:pPr>
      <w:r>
        <w:rPr>
          <w:bCs/>
          <w:b/>
        </w:rPr>
        <w:t xml:space="preserve">R-2.</w:t>
      </w:r>
      <w:r>
        <w:t xml:space="preserve"> </w:t>
      </w:r>
      <w:r>
        <w:t xml:space="preserve">Location resolution applies only where a binding profile explicitly permits a location identifier in place of geometry, and only within the bounds that profile sets.</w:t>
      </w:r>
      <w:r>
        <w:t xml:space="preserve"> </w:t>
      </w:r>
      <w:r>
        <w:rPr>
          <w:rStyle w:val="VerbatimChar"/>
        </w:rPr>
        <w:t xml:space="preserve">PROFILE-CALIFORNIA.md</w:t>
      </w:r>
      <w:r>
        <w:t xml:space="preserve"> </w:t>
      </w:r>
      <w:r>
        <w:t xml:space="preserve">is the first such profile. A profile MAY be stricter than this document. A profile MUST NOT be looser.</w:t>
      </w:r>
    </w:p>
    <w:bookmarkEnd w:id="22"/>
    <w:bookmarkStart w:id="23" w:name="X722d5fb077bcae3846c19a9d08787cec1398fc7"/>
    <w:p>
      <w:pPr>
        <w:pStyle w:val="Heading3"/>
      </w:pPr>
      <w:r>
        <w:t xml:space="preserve">3.2 Where resolution happens</w:t>
      </w:r>
    </w:p>
    <w:p>
      <w:pPr>
        <w:pStyle w:val="FirstParagraph"/>
      </w:pPr>
      <w:r>
        <w:rPr>
          <w:bCs/>
          <w:b/>
        </w:rPr>
        <w:t xml:space="preserve">R-3.</w:t>
      </w:r>
      <w:r>
        <w:t xml:space="preserve"> </w:t>
      </w:r>
      <w:r>
        <w:t xml:space="preserve">Resolution MUST happen once, at the gateway or the receiver's backend, and the notice that leaves it MUST carry explicit geometry. Vehicles MUST NOT resolve location identifiers.</w:t>
      </w:r>
    </w:p>
    <w:p>
      <w:pPr>
        <w:pStyle w:val="BodyText"/>
      </w:pPr>
      <w:r>
        <w:t xml:space="preserve">This follows the same reasoning as 8.6. Resolution is a decision that needs a map, a jurisdiction boundary, a policy, and the ability to refuse. Replicating it across embedded endpoints puts a geocoder in the safety path on a device that cannot be patched quickly and cannot ask a human.</w:t>
      </w:r>
    </w:p>
    <w:bookmarkEnd w:id="23"/>
    <w:bookmarkStart w:id="24" w:name="X60d40e00e1d2ae3ba98ce9f8c754e071432b848"/>
    <w:p>
      <w:pPr>
        <w:pStyle w:val="Heading3"/>
      </w:pPr>
      <w:r>
        <w:t xml:space="preserve">3.3 Shape and default radii</w:t>
      </w:r>
    </w:p>
    <w:p>
      <w:pPr>
        <w:pStyle w:val="FirstParagraph"/>
      </w:pPr>
      <w:r>
        <w:rPr>
          <w:bCs/>
          <w:b/>
        </w:rPr>
        <w:t xml:space="preserve">R-4.</w:t>
      </w:r>
      <w:r>
        <w:t xml:space="preserve"> </w:t>
      </w:r>
      <w:r>
        <w:t xml:space="preserve">A resolved zone MUST use</w:t>
      </w:r>
      <w:r>
        <w:t xml:space="preserve"> </w:t>
      </w:r>
      <w:r>
        <w:rPr>
          <w:rStyle w:val="VerbatimChar"/>
        </w:rPr>
        <w:t xml:space="preserve">Point</w:t>
      </w:r>
      <w:r>
        <w:t xml:space="preserve"> </w:t>
      </w:r>
      <w:r>
        <w:t xml:space="preserve">geometry with</w:t>
      </w:r>
      <w:r>
        <w:t xml:space="preserve"> </w:t>
      </w:r>
      <w:r>
        <w:rPr>
          <w:rStyle w:val="VerbatimChar"/>
        </w:rPr>
        <w:t xml:space="preserve">buffer_m</w:t>
      </w:r>
      <w:r>
        <w:t xml:space="preserve">, which 7.1 already defines, except that a block range MAY use</w:t>
      </w:r>
      <w:r>
        <w:t xml:space="preserve"> </w:t>
      </w:r>
      <w:r>
        <w:rPr>
          <w:rStyle w:val="VerbatimChar"/>
        </w:rPr>
        <w:t xml:space="preserve">LineString</w:t>
      </w:r>
      <w:r>
        <w:t xml:space="preserve"> </w:t>
      </w:r>
      <w:r>
        <w:t xml:space="preserve">with</w:t>
      </w:r>
      <w:r>
        <w:t xml:space="preserve"> </w:t>
      </w:r>
      <w:r>
        <w:rPr>
          <w:rStyle w:val="VerbatimChar"/>
        </w:rPr>
        <w:t xml:space="preserve">buffer_m</w:t>
      </w:r>
      <w:r>
        <w:t xml:space="preserve"> </w:t>
      </w:r>
      <w:r>
        <w:t xml:space="preserve">where the resolver has street centerline data for the named block.</w:t>
      </w:r>
    </w:p>
    <w:p>
      <w:pPr>
        <w:pStyle w:val="BodyText"/>
      </w:pPr>
      <w:r>
        <w:rPr>
          <w:bCs/>
          <w:b/>
        </w:rPr>
        <w:t xml:space="preserve">R-5.</w:t>
      </w:r>
      <w:r>
        <w:t xml:space="preserve"> </w:t>
      </w:r>
      <w:r>
        <w:t xml:space="preserve">Absent a profile override, the default buffer radius by identifier type 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Location identifier</w:t>
            </w:r>
          </w:p>
        </w:tc>
        <w:tc>
          <w:tcPr/>
          <w:p>
            <w:pPr>
              <w:pStyle w:val="Compact"/>
              <w:jc w:val="left"/>
            </w:pPr>
            <w:r>
              <w:t xml:space="preserve">Default</w:t>
            </w:r>
            <w:r>
              <w:t xml:space="preserve"> </w:t>
            </w:r>
            <w:r>
              <w:rPr>
                <w:rStyle w:val="VerbatimChar"/>
              </w:rPr>
              <w:t xml:space="preserve">buffer_m</w:t>
            </w:r>
          </w:p>
        </w:tc>
        <w:tc>
          <w:tcPr/>
          <w:p>
            <w:pPr>
              <w:pStyle w:val="Compact"/>
              <w:jc w:val="left"/>
            </w:pPr>
            <w:r>
              <w:t xml:space="preserve">Resulting area</w:t>
            </w:r>
          </w:p>
        </w:tc>
      </w:tr>
      <w:tr>
        <w:tc>
          <w:tcPr/>
          <w:p>
            <w:pPr>
              <w:pStyle w:val="Compact"/>
              <w:jc w:val="left"/>
            </w:pPr>
            <w:r>
              <w:t xml:space="preserve">Coordinate pair</w:t>
            </w:r>
          </w:p>
        </w:tc>
        <w:tc>
          <w:tcPr/>
          <w:p>
            <w:pPr>
              <w:pStyle w:val="Compact"/>
              <w:jc w:val="left"/>
            </w:pPr>
            <w:r>
              <w:t xml:space="preserve">75</w:t>
            </w:r>
          </w:p>
        </w:tc>
        <w:tc>
          <w:tcPr/>
          <w:p>
            <w:pPr>
              <w:pStyle w:val="Compact"/>
              <w:jc w:val="left"/>
            </w:pPr>
            <w:r>
              <w:t xml:space="preserve">0.018 km²</w:t>
            </w:r>
          </w:p>
        </w:tc>
      </w:tr>
      <w:tr>
        <w:tc>
          <w:tcPr/>
          <w:p>
            <w:pPr>
              <w:pStyle w:val="Compact"/>
              <w:jc w:val="left"/>
            </w:pPr>
            <w:r>
              <w:t xml:space="preserve">Street address, single premises</w:t>
            </w:r>
          </w:p>
        </w:tc>
        <w:tc>
          <w:tcPr/>
          <w:p>
            <w:pPr>
              <w:pStyle w:val="Compact"/>
              <w:jc w:val="left"/>
            </w:pPr>
            <w:r>
              <w:t xml:space="preserve">75</w:t>
            </w:r>
          </w:p>
        </w:tc>
        <w:tc>
          <w:tcPr/>
          <w:p>
            <w:pPr>
              <w:pStyle w:val="Compact"/>
              <w:jc w:val="left"/>
            </w:pPr>
            <w:r>
              <w:t xml:space="preserve">0.018 km²</w:t>
            </w:r>
          </w:p>
        </w:tc>
      </w:tr>
      <w:tr>
        <w:tc>
          <w:tcPr/>
          <w:p>
            <w:pPr>
              <w:pStyle w:val="Compact"/>
              <w:jc w:val="left"/>
            </w:pPr>
            <w:r>
              <w:t xml:space="preserve">Intersection</w:t>
            </w:r>
          </w:p>
        </w:tc>
        <w:tc>
          <w:tcPr/>
          <w:p>
            <w:pPr>
              <w:pStyle w:val="Compact"/>
              <w:jc w:val="left"/>
            </w:pPr>
            <w:r>
              <w:t xml:space="preserve">100</w:t>
            </w:r>
          </w:p>
        </w:tc>
        <w:tc>
          <w:tcPr/>
          <w:p>
            <w:pPr>
              <w:pStyle w:val="Compact"/>
              <w:jc w:val="left"/>
            </w:pPr>
            <w:r>
              <w:t xml:space="preserve">0.031 km²</w:t>
            </w:r>
          </w:p>
        </w:tc>
      </w:tr>
      <w:tr>
        <w:tc>
          <w:tcPr/>
          <w:p>
            <w:pPr>
              <w:pStyle w:val="Compact"/>
              <w:jc w:val="left"/>
            </w:pPr>
            <w:r>
              <w:t xml:space="preserve">Named facility or landmark</w:t>
            </w:r>
          </w:p>
        </w:tc>
        <w:tc>
          <w:tcPr/>
          <w:p>
            <w:pPr>
              <w:pStyle w:val="Compact"/>
              <w:jc w:val="left"/>
            </w:pPr>
            <w:r>
              <w:t xml:space="preserve">150</w:t>
            </w:r>
          </w:p>
        </w:tc>
        <w:tc>
          <w:tcPr/>
          <w:p>
            <w:pPr>
              <w:pStyle w:val="Compact"/>
              <w:jc w:val="left"/>
            </w:pPr>
            <w:r>
              <w:t xml:space="preserve">0.071 km²</w:t>
            </w:r>
          </w:p>
        </w:tc>
      </w:tr>
      <w:tr>
        <w:tc>
          <w:tcPr/>
          <w:p>
            <w:pPr>
              <w:pStyle w:val="Compact"/>
              <w:jc w:val="left"/>
            </w:pPr>
            <w:r>
              <w:t xml:space="preserve">Block range, with centerline data</w:t>
            </w:r>
          </w:p>
        </w:tc>
        <w:tc>
          <w:tcPr/>
          <w:p>
            <w:pPr>
              <w:pStyle w:val="Compact"/>
              <w:jc w:val="left"/>
            </w:pPr>
            <w:r>
              <w:t xml:space="preserve">30 along the</w:t>
            </w:r>
            <w:r>
              <w:t xml:space="preserve"> </w:t>
            </w:r>
            <w:r>
              <w:rPr>
                <w:rStyle w:val="VerbatimChar"/>
              </w:rPr>
              <w:t xml:space="preserve">LineString</w:t>
            </w:r>
          </w:p>
        </w:tc>
        <w:tc>
          <w:tcPr/>
          <w:p>
            <w:pPr>
              <w:pStyle w:val="Compact"/>
              <w:jc w:val="left"/>
            </w:pPr>
            <w:r>
              <w:t xml:space="preserve">varies with block length</w:t>
            </w:r>
          </w:p>
        </w:tc>
      </w:tr>
      <w:tr>
        <w:tc>
          <w:tcPr/>
          <w:p>
            <w:pPr>
              <w:pStyle w:val="Compact"/>
              <w:jc w:val="left"/>
            </w:pPr>
            <w:r>
              <w:t xml:space="preserve">Block range, without centerline data</w:t>
            </w:r>
          </w:p>
        </w:tc>
        <w:tc>
          <w:tcPr/>
          <w:p>
            <w:pPr>
              <w:pStyle w:val="Compact"/>
              <w:jc w:val="left"/>
            </w:pPr>
            <w:r>
              <w:t xml:space="preserve">150</w:t>
            </w:r>
          </w:p>
        </w:tc>
        <w:tc>
          <w:tcPr/>
          <w:p>
            <w:pPr>
              <w:pStyle w:val="Compact"/>
              <w:jc w:val="left"/>
            </w:pPr>
            <w:r>
              <w:t xml:space="preserve">0.071 km²</w:t>
            </w:r>
          </w:p>
        </w:tc>
      </w:tr>
    </w:tbl>
    <w:p>
      <w:pPr>
        <w:pStyle w:val="BodyText"/>
      </w:pPr>
      <w:r>
        <w:t xml:space="preserve">These are deliberately small. A resolved zone is a guess about what an issuer meant, and the correct response to an under-sized guess is that the issuer sends a real polygon or a second message, not that every guess is generous. Compare the reasoning in 5.3 about a tired duty officer drawing an unnecessarily large area to avoid touching it again: the same incentive applies to a resolver author, and the same answer applies.</w:t>
      </w:r>
    </w:p>
    <w:bookmarkEnd w:id="24"/>
    <w:bookmarkStart w:id="25" w:name="Xc5c663e581299a95e833d77a975cda5b3d41620"/>
    <w:p>
      <w:pPr>
        <w:pStyle w:val="Heading3"/>
      </w:pPr>
      <w:r>
        <w:t xml:space="preserve">3.4 The hard ceiling</w:t>
      </w:r>
    </w:p>
    <w:p>
      <w:pPr>
        <w:pStyle w:val="FirstParagraph"/>
      </w:pPr>
      <w:r>
        <w:rPr>
          <w:bCs/>
          <w:b/>
        </w:rPr>
        <w:t xml:space="preserve">R-6.</w:t>
      </w:r>
      <w:r>
        <w:t xml:space="preserve"> </w:t>
      </w:r>
      <w:r>
        <w:t xml:space="preserve">A resolved zone MUST NOT exceed a 250 m buffer radius, about 0.196 km², regardless of identifier type, profile, or configuration. A profile MAY set a lower maximum. No profile may raise it.</w:t>
      </w:r>
    </w:p>
    <w:p>
      <w:pPr>
        <w:pStyle w:val="BodyText"/>
      </w:pPr>
      <w:r>
        <w:rPr>
          <w:bCs/>
          <w:b/>
        </w:rPr>
        <w:t xml:space="preserve">R-7.</w:t>
      </w:r>
      <w:r>
        <w:t xml:space="preserve"> </w:t>
      </w:r>
      <w:r>
        <w:t xml:space="preserve">A location identifier that cannot be represented within R-6 MUST be rejected with</w:t>
      </w:r>
      <w:r>
        <w:t xml:space="preserve"> </w:t>
      </w:r>
      <w:r>
        <w:rPr>
          <w:rStyle w:val="VerbatimChar"/>
        </w:rPr>
        <w:t xml:space="preserve">LOCATION_NOT_RESOLVABLE</w:t>
      </w:r>
      <w:r>
        <w:t xml:space="preserve">, and the rejection MUST be surfaced to a human at both ends within the 8.4 latency budget. "The east side of downtown" is not a location identifier; it is a request for a polygon.</w:t>
      </w:r>
    </w:p>
    <w:p>
      <w:pPr>
        <w:pStyle w:val="BodyText"/>
      </w:pPr>
      <w:r>
        <w:t xml:space="preserve">R-6 is the load-bearing number in this document. It sits an order of magnitude below the 2 km² Tier 1 ceiling, which means a resolved zone can never approach any tier's area limit, which in turn means the worst case for a forged or mistaken location string is one intersection rather than one district. It also means the ceiling is doing its work before the tier table is consulted rather than after.</w:t>
      </w:r>
    </w:p>
    <w:bookmarkEnd w:id="25"/>
    <w:bookmarkStart w:id="26" w:name="Xa45a4bf313c10dfd0a18a083b61847b4f0e7e6c"/>
    <w:p>
      <w:pPr>
        <w:pStyle w:val="Heading3"/>
      </w:pPr>
      <w:r>
        <w:t xml:space="preserve">3.5 The controls still apply</w:t>
      </w:r>
    </w:p>
    <w:p>
      <w:pPr>
        <w:pStyle w:val="FirstParagraph"/>
      </w:pPr>
      <w:r>
        <w:rPr>
          <w:bCs/>
          <w:b/>
        </w:rPr>
        <w:t xml:space="preserve">R-8.</w:t>
      </w:r>
      <w:r>
        <w:t xml:space="preserve"> </w:t>
      </w:r>
      <w:r>
        <w:t xml:space="preserve">A resolved zone counts toward the 5.3 area ceiling exactly as a drawn zone does. Resolution creates no allowance.</w:t>
      </w:r>
    </w:p>
    <w:p>
      <w:pPr>
        <w:pStyle w:val="BodyText"/>
      </w:pPr>
      <w:r>
        <w:rPr>
          <w:bCs/>
          <w:b/>
        </w:rPr>
        <w:t xml:space="preserve">R-9.</w:t>
      </w:r>
      <w:r>
        <w:t xml:space="preserve"> </w:t>
      </w:r>
      <w:r>
        <w:t xml:space="preserve">Jurisdictional containment under 5.4 MUST be evaluated against the resolved geometry. A resolved zone that is not wholly within the issuer's registered boundary MUST be rejected with</w:t>
      </w:r>
      <w:r>
        <w:t xml:space="preserve"> </w:t>
      </w:r>
      <w:r>
        <w:rPr>
          <w:rStyle w:val="VerbatimChar"/>
        </w:rPr>
        <w:t xml:space="preserve">OUTSIDE_JURISDICTION</w:t>
      </w:r>
      <w:r>
        <w:t xml:space="preserve">.</w:t>
      </w:r>
    </w:p>
    <w:p>
      <w:pPr>
        <w:pStyle w:val="BodyText"/>
      </w:pPr>
      <w:r>
        <w:rPr>
          <w:bCs/>
          <w:b/>
        </w:rPr>
        <w:t xml:space="preserve">R-10.</w:t>
      </w:r>
      <w:r>
        <w:t xml:space="preserve"> </w:t>
      </w:r>
      <w:r>
        <w:t xml:space="preserve">A receiver MUST NOT clip, shrink, or relocate a resolved zone to bring it inside a boundary or under a ceiling. Clipping to fit converts an out-of-jurisdiction request into an in-jurisdiction closure, which is the exact outcome 5.4 exists to prevent, and it does so silently.</w:t>
      </w:r>
    </w:p>
    <w:bookmarkEnd w:id="26"/>
    <w:bookmarkStart w:id="27" w:name="Xcf1d01e2a6375d35febf1288468a3db5f16bec9"/>
    <w:p>
      <w:pPr>
        <w:pStyle w:val="Heading3"/>
      </w:pPr>
      <w:r>
        <w:t xml:space="preserve">3.6 Ambiguity is a rejection, not a guess</w:t>
      </w:r>
    </w:p>
    <w:p>
      <w:pPr>
        <w:pStyle w:val="FirstParagraph"/>
      </w:pPr>
      <w:r>
        <w:rPr>
          <w:bCs/>
          <w:b/>
        </w:rPr>
        <w:t xml:space="preserve">R-11.</w:t>
      </w:r>
      <w:r>
        <w:t xml:space="preserve"> </w:t>
      </w:r>
      <w:r>
        <w:t xml:space="preserve">If a location identifier resolves to zero candidates within the issuer's registered jurisdiction, the receiver MUST reject with</w:t>
      </w:r>
      <w:r>
        <w:t xml:space="preserve"> </w:t>
      </w:r>
      <w:r>
        <w:rPr>
          <w:rStyle w:val="VerbatimChar"/>
        </w:rPr>
        <w:t xml:space="preserve">LOCATION_NOT_RESOLVABLE</w:t>
      </w:r>
      <w:r>
        <w:t xml:space="preserve">.</w:t>
      </w:r>
    </w:p>
    <w:p>
      <w:pPr>
        <w:pStyle w:val="BodyText"/>
      </w:pPr>
      <w:r>
        <w:rPr>
          <w:bCs/>
          <w:b/>
        </w:rPr>
        <w:t xml:space="preserve">R-12.</w:t>
      </w:r>
      <w:r>
        <w:t xml:space="preserve"> </w:t>
      </w:r>
      <w:r>
        <w:t xml:space="preserve">If it resolves to more than one candidate within that jurisdiction, the receiver MUST reject with</w:t>
      </w:r>
      <w:r>
        <w:t xml:space="preserve"> </w:t>
      </w:r>
      <w:r>
        <w:rPr>
          <w:rStyle w:val="VerbatimChar"/>
        </w:rPr>
        <w:t xml:space="preserve">AMBIGUOUS_LOCATION</w:t>
      </w:r>
      <w:r>
        <w:t xml:space="preserve"> </w:t>
      </w:r>
      <w:r>
        <w:t xml:space="preserve">and MUST include every candidate it found in</w:t>
      </w:r>
      <w:r>
        <w:t xml:space="preserve"> </w:t>
      </w:r>
      <w:r>
        <w:rPr>
          <w:rStyle w:val="VerbatimChar"/>
        </w:rPr>
        <w:t xml:space="preserve">exceptions[].detail</w:t>
      </w:r>
      <w:r>
        <w:t xml:space="preserve">, so the issuer can pick one rather than guess again.</w:t>
      </w:r>
    </w:p>
    <w:p>
      <w:pPr>
        <w:pStyle w:val="BodyText"/>
      </w:pPr>
      <w:r>
        <w:t xml:space="preserve">Where the issuer then picks one, the notice that follows carries</w:t>
      </w:r>
      <w:r>
        <w:t xml:space="preserve"> </w:t>
      </w:r>
      <w:r>
        <w:rPr>
          <w:rStyle w:val="VerbatimChar"/>
        </w:rPr>
        <w:t xml:space="preserve">candidate_count</w:t>
      </w:r>
      <w:r>
        <w:t xml:space="preserve"> </w:t>
      </w:r>
      <w:r>
        <w:t xml:space="preserve">greater than 1 and MUST record how it was settled in</w:t>
      </w:r>
      <w:r>
        <w:t xml:space="preserve"> </w:t>
      </w:r>
      <w:r>
        <w:rPr>
          <w:rStyle w:val="VerbatimChar"/>
        </w:rPr>
        <w:t xml:space="preserve">location_resolution.disambiguation</w:t>
      </w:r>
      <w:r>
        <w:t xml:space="preserve">. That field exists so that a multi-candidate resolution is either a rejection or a recorded human decision, and never a silent selection.</w:t>
      </w:r>
    </w:p>
    <w:p>
      <w:pPr>
        <w:pStyle w:val="BodyText"/>
      </w:pPr>
      <w:r>
        <w:rPr>
          <w:bCs/>
          <w:b/>
        </w:rPr>
        <w:t xml:space="preserve">R-13.</w:t>
      </w:r>
      <w:r>
        <w:t xml:space="preserve"> </w:t>
      </w:r>
      <w:r>
        <w:t xml:space="preserve">A receiver MUST NOT select among candidates by rank, confidence score, proximity, or population. Geocoders return ranked guesses and they are usually right, which is precisely the problem: a resolver that is right 98 percent of the time closes the wrong block roughly once every fifty incidents, silently, with statutory force behind it.</w:t>
      </w:r>
    </w:p>
    <w:p>
      <w:pPr>
        <w:pStyle w:val="BodyText"/>
      </w:pPr>
      <w:r>
        <w:rPr>
          <w:bCs/>
          <w:b/>
        </w:rPr>
        <w:t xml:space="preserve">R-14.</w:t>
      </w:r>
      <w:r>
        <w:t xml:space="preserve"> </w:t>
      </w:r>
      <w:r>
        <w:t xml:space="preserve">A rejection under R-11 or R-12 is not a refusal to cooperate, and Section 9's rule applies unchanged: it MUST reach a human at both ends inside the 8.4 budget. In a jurisdiction with a statutory response clock, a rejection stops the clock only if the issuer receives it, which is why R-14 is a MUST rather than a SHOULD.</w:t>
      </w:r>
    </w:p>
    <w:bookmarkEnd w:id="27"/>
    <w:bookmarkStart w:id="28" w:name="Xd1f4e290eceb08d64e4ac069074340d23d41cbf"/>
    <w:p>
      <w:pPr>
        <w:pStyle w:val="Heading3"/>
      </w:pPr>
      <w:r>
        <w:t xml:space="preserve">3.7 Prohibitive levels</w:t>
      </w:r>
    </w:p>
    <w:p>
      <w:pPr>
        <w:pStyle w:val="FirstParagraph"/>
      </w:pPr>
      <w:r>
        <w:rPr>
          <w:bCs/>
          <w:b/>
        </w:rPr>
        <w:t xml:space="preserve">R-15.</w:t>
      </w:r>
      <w:r>
        <w:t xml:space="preserve"> </w:t>
      </w:r>
      <w:r>
        <w:t xml:space="preserve">A resolved zone MUST NOT carry</w:t>
      </w:r>
      <w:r>
        <w:t xml:space="preserve"> </w:t>
      </w:r>
      <w:r>
        <w:rPr>
          <w:rStyle w:val="VerbatimChar"/>
        </w:rPr>
        <w:t xml:space="preserve">PROHIBITED</w:t>
      </w:r>
      <w:r>
        <w:t xml:space="preserve"> </w:t>
      </w:r>
      <w:r>
        <w:t xml:space="preserve">or</w:t>
      </w:r>
      <w:r>
        <w:t xml:space="preserve"> </w:t>
      </w:r>
      <w:r>
        <w:rPr>
          <w:rStyle w:val="VerbatimChar"/>
        </w:rPr>
        <w:t xml:space="preserve">NO_DRIVERLESS</w:t>
      </w:r>
      <w:r>
        <w:t xml:space="preserve"> </w:t>
      </w:r>
      <w:r>
        <w:t xml:space="preserve">unless the notice also satisfies 11.6's</w:t>
      </w:r>
      <w:r>
        <w:t xml:space="preserve"> </w:t>
      </w:r>
      <w:r>
        <w:rPr>
          <w:rStyle w:val="VerbatimChar"/>
        </w:rPr>
        <w:t xml:space="preserve">CALLBACK_TO_PUBLISHED_NUMBER</w:t>
      </w:r>
      <w:r>
        <w:t xml:space="preserve"> </w:t>
      </w:r>
      <w:r>
        <w:t xml:space="preserve">verification.</w:t>
      </w:r>
    </w:p>
    <w:p>
      <w:pPr>
        <w:pStyle w:val="BodyText"/>
      </w:pPr>
      <w:r>
        <w:t xml:space="preserve">An unauthenticated string, an area the receiver chose, and a total closure is the entire attack in one message. The ninety-second callback is cheap and it is the only control that reaches this case. Note that this rule composes with, and does not replace, whatever authentication a profile requires.</w:t>
      </w:r>
    </w:p>
    <w:bookmarkEnd w:id="28"/>
    <w:bookmarkStart w:id="29" w:name="Xe57a90e9c44757ca6adabd806c883fd70e0df07"/>
    <w:p>
      <w:pPr>
        <w:pStyle w:val="Heading3"/>
      </w:pPr>
      <w:r>
        <w:t xml:space="preserve">3.8 Revisions</w:t>
      </w:r>
    </w:p>
    <w:p>
      <w:pPr>
        <w:pStyle w:val="FirstParagraph"/>
      </w:pPr>
      <w:r>
        <w:rPr>
          <w:bCs/>
          <w:b/>
        </w:rPr>
        <w:t xml:space="preserve">R-16.</w:t>
      </w:r>
      <w:r>
        <w:t xml:space="preserve"> </w:t>
      </w:r>
      <w:r>
        <w:t xml:space="preserve">An</w:t>
      </w:r>
      <w:r>
        <w:t xml:space="preserve"> </w:t>
      </w:r>
      <w:r>
        <w:rPr>
          <w:rStyle w:val="VerbatimChar"/>
        </w:rPr>
        <w:t xml:space="preserve">EXTEND</w:t>
      </w:r>
      <w:r>
        <w:t xml:space="preserve"> </w:t>
      </w:r>
      <w:r>
        <w:t xml:space="preserve">or</w:t>
      </w:r>
      <w:r>
        <w:t xml:space="preserve"> </w:t>
      </w:r>
      <w:r>
        <w:rPr>
          <w:rStyle w:val="VerbatimChar"/>
        </w:rPr>
        <w:t xml:space="preserve">UPDATE</w:t>
      </w:r>
      <w:r>
        <w:t xml:space="preserve"> </w:t>
      </w:r>
      <w:r>
        <w:t xml:space="preserve">against a notice containing a resolved zone MUST either carry the same resolved geometry or supply issuer-drawn geometry. It MUST NOT re-resolve to a larger area, and it MUST NOT resolve a new identifier into an enlargement.</w:t>
      </w:r>
    </w:p>
    <w:p>
      <w:pPr>
        <w:pStyle w:val="BodyText"/>
      </w:pPr>
      <w:r>
        <w:t xml:space="preserve">Without R-16, resolution becomes an area-escalation primitive: issue against a vague string, then extend against a vaguer one. The cumulative duration ceiling in 4.3 has a cumulative-area analogue here and this is it.</w:t>
      </w:r>
    </w:p>
    <w:bookmarkEnd w:id="29"/>
    <w:bookmarkStart w:id="30" w:name="Xe7fefb3c8c291881ea740232a50183547a2826f"/>
    <w:p>
      <w:pPr>
        <w:pStyle w:val="Heading3"/>
      </w:pPr>
      <w:r>
        <w:t xml:space="preserve">3.9 Audit</w:t>
      </w:r>
    </w:p>
    <w:p>
      <w:pPr>
        <w:pStyle w:val="FirstParagraph"/>
      </w:pPr>
      <w:r>
        <w:rPr>
          <w:bCs/>
          <w:b/>
        </w:rPr>
        <w:t xml:space="preserve">R-17.</w:t>
      </w:r>
      <w:r>
        <w:t xml:space="preserve"> </w:t>
      </w:r>
      <w:r>
        <w:t xml:space="preserve">A resolved zone MUST carry a</w:t>
      </w:r>
      <w:r>
        <w:t xml:space="preserve"> </w:t>
      </w:r>
      <w:r>
        <w:rPr>
          <w:rStyle w:val="VerbatimChar"/>
        </w:rPr>
        <w:t xml:space="preserve">zones[].location_resolution</w:t>
      </w:r>
      <w:r>
        <w:t xml:space="preserve"> </w:t>
      </w:r>
      <w:r>
        <w:t xml:space="preserve">block recording, at minimum: the verbatim source string as received, the identifier type the resolver classified it as, the resolver's name and version, the resolution timestamp, and the number of candidates found. The channel the identifier arrived on SHOULD also be recorded.</w:t>
      </w:r>
    </w:p>
    <w:p>
      <w:pPr>
        <w:pStyle w:val="BodyText"/>
      </w:pPr>
      <w:r>
        <w:t xml:space="preserve">The block is per zone rather than per notice, decided during implementation. A notice may mix a drawn zone with a resolved one, and the audit question is always about a particular geometry: who chose this shape. Attaching the record to the zone also means the schema can require a resolved zone to be a circle or a buffered line without constraining the rest of the notice.</w:t>
      </w:r>
    </w:p>
    <w:p>
      <w:pPr>
        <w:pStyle w:val="BodyText"/>
      </w:pPr>
      <w:r>
        <w:rPr>
          <w:bCs/>
          <w:b/>
        </w:rPr>
        <w:t xml:space="preserve">R-18.</w:t>
      </w:r>
      <w:r>
        <w:t xml:space="preserve"> </w:t>
      </w:r>
      <w:r>
        <w:t xml:space="preserve">The public register (12) and every audit log MUST present a resolved zone as derived, not as issued.</w:t>
      </w:r>
      <w:r>
        <w:t xml:space="preserve"> </w:t>
      </w:r>
      <w:r>
        <w:rPr>
          <w:rStyle w:val="VerbatimChar"/>
        </w:rPr>
        <w:t xml:space="preserve">area_desc</w:t>
      </w:r>
      <w:r>
        <w:t xml:space="preserve"> </w:t>
      </w:r>
      <w:r>
        <w:t xml:space="preserve">for a resolved zone MUST state that the geometry was synthesized and MUST quote the source string.</w:t>
      </w:r>
    </w:p>
    <w:p>
      <w:pPr>
        <w:pStyle w:val="BodyText"/>
      </w:pPr>
      <w:r>
        <w:t xml:space="preserve">R-17 and R-18 exist because of what 12's three-year retention is for. Without them, an after-action review of a wrongly closed street shows a polygon with an issuer's signature over it, and nothing in the record says the issuer never drew it or that a receiver chose its size. That is the difference between a reviewable system and one that launders a guess into an official act.</w:t>
      </w:r>
    </w:p>
    <w:bookmarkEnd w:id="30"/>
    <w:bookmarkStart w:id="31" w:name="X9cada09ab2ab80cebe1feb37c479b44580cc7b2"/>
    <w:p>
      <w:pPr>
        <w:pStyle w:val="Heading3"/>
      </w:pPr>
      <w:r>
        <w:t xml:space="preserve">3.10 Determinism</w:t>
      </w:r>
    </w:p>
    <w:p>
      <w:pPr>
        <w:pStyle w:val="FirstParagraph"/>
      </w:pPr>
      <w:r>
        <w:rPr>
          <w:bCs/>
          <w:b/>
        </w:rPr>
        <w:t xml:space="preserve">R-19.</w:t>
      </w:r>
      <w:r>
        <w:t xml:space="preserve"> </w:t>
      </w:r>
      <w:r>
        <w:t xml:space="preserve">Issuers SHOULD supply coordinates rather than prose wherever their tooling allows, and a profile SHOULD say so in its issuer guidance. Two conforming receivers running different resolvers against the same street address will produce different centers, and R-17's resolver identity is what makes that divergence diagnosable rather than mysterious. It does not make it go away.</w:t>
      </w:r>
    </w:p>
    <w:bookmarkEnd w:id="31"/>
    <w:bookmarkEnd w:id="32"/>
    <w:bookmarkStart w:id="33" w:name="Xccf5eb6d370acbbd9d825e1371a2e5bd01a281b"/>
    <w:p>
      <w:pPr>
        <w:pStyle w:val="Heading2"/>
      </w:pPr>
      <w:r>
        <w:t xml:space="preserve">4. New rejection codes</w:t>
      </w:r>
    </w:p>
    <w:p>
      <w:pPr>
        <w:pStyle w:val="FirstParagraph"/>
      </w:pPr>
      <w:r>
        <w:t xml:space="preserve">Two additions to the</w:t>
      </w:r>
      <w:r>
        <w:t xml:space="preserve"> </w:t>
      </w:r>
      <w:r>
        <w:rPr>
          <w:rStyle w:val="VerbatimChar"/>
        </w:rPr>
        <w:t xml:space="preserve">rejection_code</w:t>
      </w:r>
      <w:r>
        <w:t xml:space="preserve"> </w:t>
      </w:r>
      <w:r>
        <w:t xml:space="preserve">enum in</w:t>
      </w:r>
      <w:r>
        <w:t xml:space="preserve"> </w:t>
      </w:r>
      <w:r>
        <w:rPr>
          <w:rStyle w:val="VerbatimChar"/>
        </w:rPr>
        <w:t xml:space="preserve">schema/acknowledgement.schema.json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rPr>
                <w:rStyle w:val="VerbatimChar"/>
              </w:rPr>
              <w:t xml:space="preserve">AMBIGUOUS_LOCATION</w:t>
            </w:r>
          </w:p>
        </w:tc>
        <w:tc>
          <w:tcPr/>
          <w:p>
            <w:pPr>
              <w:pStyle w:val="Compact"/>
              <w:jc w:val="left"/>
            </w:pPr>
            <w:r>
              <w:t xml:space="preserve">The location identifier resolved to more than one candidate within the issuer's jurisdiction. Candidates are listed in</w:t>
            </w:r>
            <w:r>
              <w:t xml:space="preserve"> </w:t>
            </w:r>
            <w:r>
              <w:rPr>
                <w:rStyle w:val="VerbatimChar"/>
              </w:rPr>
              <w:t xml:space="preserve">exceptions[].detail</w:t>
            </w:r>
            <w:r>
              <w:t xml:space="preserve">.</w:t>
            </w:r>
          </w:p>
        </w:tc>
      </w:tr>
      <w:tr>
        <w:tc>
          <w:tcPr/>
          <w:p>
            <w:pPr>
              <w:pStyle w:val="Compact"/>
              <w:jc w:val="left"/>
            </w:pPr>
            <w:r>
              <w:rPr>
                <w:rStyle w:val="VerbatimChar"/>
              </w:rPr>
              <w:t xml:space="preserve">LOCATION_NOT_RESOLVABLE</w:t>
            </w:r>
          </w:p>
        </w:tc>
        <w:tc>
          <w:tcPr/>
          <w:p>
            <w:pPr>
              <w:pStyle w:val="Compact"/>
              <w:jc w:val="left"/>
            </w:pPr>
            <w:r>
              <w:t xml:space="preserve">The location identifier resolved to nothing within the issuer's jurisdiction, or to an area that cannot be bounded within R-6.</w:t>
            </w:r>
          </w:p>
        </w:tc>
      </w:tr>
    </w:tbl>
    <w:p>
      <w:pPr>
        <w:pStyle w:val="BodyText"/>
      </w:pPr>
      <w:r>
        <w:rPr>
          <w:rStyle w:val="VerbatimChar"/>
        </w:rPr>
        <w:t xml:space="preserve">MALFORMED_GEOMETRY</w:t>
      </w:r>
      <w:r>
        <w:t xml:space="preserve"> </w:t>
      </w:r>
      <w:r>
        <w:t xml:space="preserve">remains for a notice whose supplied geometry is invalid. The split matters for the same reason L2's</w:t>
      </w:r>
      <w:r>
        <w:t xml:space="preserve"> </w:t>
      </w:r>
      <w:r>
        <w:rPr>
          <w:rStyle w:val="VerbatimChar"/>
        </w:rPr>
        <w:t xml:space="preserve">MALFORMED_MESSAGE</w:t>
      </w:r>
      <w:r>
        <w:t xml:space="preserve"> </w:t>
      </w:r>
      <w:r>
        <w:t xml:space="preserve">split mattered: an issuer reading its own logs should not go looking at a polygon that was never sent.</w:t>
      </w:r>
    </w:p>
    <w:bookmarkEnd w:id="33"/>
    <w:bookmarkStart w:id="34" w:name="X5a1ca37fbbbdc26c1b8da8012cff6893c764372"/>
    <w:p>
      <w:pPr>
        <w:pStyle w:val="Heading2"/>
      </w:pPr>
      <w:r>
        <w:t xml:space="preserve">5. Implementation status</w:t>
      </w:r>
    </w:p>
    <w:p>
      <w:pPr>
        <w:pStyle w:val="FirstParagraph"/>
      </w:pPr>
      <w:r>
        <w:rPr>
          <w:bCs/>
          <w:b/>
        </w:rPr>
        <w:t xml:space="preserve">Implemented 2026-09-04.</w:t>
      </w:r>
      <w:r>
        <w:t xml:space="preserve"> </w:t>
      </w:r>
      <w:r>
        <w:t xml:space="preserve">The rule is enforced, not just written.</w:t>
      </w:r>
    </w:p>
    <w:p>
      <w:pPr>
        <w:pStyle w:val="BodyText"/>
      </w:pPr>
      <w:r>
        <w:rPr>
          <w:bCs/>
          <w:b/>
        </w:rPr>
        <w:t xml:space="preserve">Schema.</w:t>
      </w:r>
      <w:r>
        <w:t xml:space="preserve"> </w:t>
      </w:r>
      <w:r>
        <w:rPr>
          <w:rStyle w:val="VerbatimChar"/>
        </w:rPr>
        <w:t xml:space="preserve">$defs.locationResolution</w:t>
      </w:r>
      <w:r>
        <w:t xml:space="preserve"> </w:t>
      </w:r>
      <w:r>
        <w:t xml:space="preserve">added to</w:t>
      </w:r>
      <w:r>
        <w:t xml:space="preserve"> </w:t>
      </w:r>
      <w:r>
        <w:rPr>
          <w:rStyle w:val="VerbatimChar"/>
        </w:rPr>
        <w:t xml:space="preserve">geofence-notice.schema.json</w:t>
      </w:r>
      <w:r>
        <w:t xml:space="preserve">, referenced from</w:t>
      </w:r>
      <w:r>
        <w:t xml:space="preserve"> </w:t>
      </w:r>
      <w:r>
        <w:rPr>
          <w:rStyle w:val="VerbatimChar"/>
        </w:rPr>
        <w:t xml:space="preserve">$defs.zone.properties.location_resolution</w:t>
      </w:r>
      <w:r>
        <w:t xml:space="preserve">. Required:</w:t>
      </w:r>
      <w:r>
        <w:t xml:space="preserve"> </w:t>
      </w:r>
      <w:r>
        <w:rPr>
          <w:rStyle w:val="VerbatimChar"/>
        </w:rPr>
        <w:t xml:space="preserve">source_text</w:t>
      </w:r>
      <w:r>
        <w:t xml:space="preserve">,</w:t>
      </w:r>
      <w:r>
        <w:t xml:space="preserve"> </w:t>
      </w:r>
      <w:r>
        <w:rPr>
          <w:rStyle w:val="VerbatimChar"/>
        </w:rPr>
        <w:t xml:space="preserve">identifier_type</w:t>
      </w:r>
      <w:r>
        <w:t xml:space="preserve">,</w:t>
      </w:r>
      <w:r>
        <w:t xml:space="preserve"> </w:t>
      </w:r>
      <w:r>
        <w:rPr>
          <w:rStyle w:val="VerbatimChar"/>
        </w:rPr>
        <w:t xml:space="preserve">resolver</w:t>
      </w:r>
      <w:r>
        <w:t xml:space="preserve"> </w:t>
      </w:r>
      <w:r>
        <w:t xml:space="preserve">(name and version),</w:t>
      </w:r>
      <w:r>
        <w:t xml:space="preserve"> </w:t>
      </w:r>
      <w:r>
        <w:rPr>
          <w:rStyle w:val="VerbatimChar"/>
        </w:rPr>
        <w:t xml:space="preserve">resolved_at</w:t>
      </w:r>
      <w:r>
        <w:t xml:space="preserve">,</w:t>
      </w:r>
      <w:r>
        <w:t xml:space="preserve"> </w:t>
      </w:r>
      <w:r>
        <w:rPr>
          <w:rStyle w:val="VerbatimChar"/>
        </w:rPr>
        <w:t xml:space="preserve">candidate_count</w:t>
      </w:r>
      <w:r>
        <w:t xml:space="preserve">. Optional:</w:t>
      </w:r>
      <w:r>
        <w:t xml:space="preserve"> </w:t>
      </w:r>
      <w:r>
        <w:rPr>
          <w:rStyle w:val="VerbatimChar"/>
        </w:rPr>
        <w:t xml:space="preserve">source_channel</w:t>
      </w:r>
      <w:r>
        <w:t xml:space="preserve">,</w:t>
      </w:r>
      <w:r>
        <w:t xml:space="preserve"> </w:t>
      </w:r>
      <w:r>
        <w:rPr>
          <w:rStyle w:val="VerbatimChar"/>
        </w:rPr>
        <w:t xml:space="preserve">disambiguation</w:t>
      </w:r>
      <w:r>
        <w:t xml:space="preserve">. Two conditionals enforce the rule:</w:t>
      </w:r>
      <w:r>
        <w:t xml:space="preserve"> </w:t>
      </w:r>
      <w:r>
        <w:rPr>
          <w:rStyle w:val="VerbatimChar"/>
        </w:rPr>
        <w:t xml:space="preserve">candidate_count</w:t>
      </w:r>
      <w:r>
        <w:t xml:space="preserve"> </w:t>
      </w:r>
      <w:r>
        <w:t xml:space="preserve">of 2 or more requires</w:t>
      </w:r>
      <w:r>
        <w:t xml:space="preserve"> </w:t>
      </w:r>
      <w:r>
        <w:rPr>
          <w:rStyle w:val="VerbatimChar"/>
        </w:rPr>
        <w:t xml:space="preserve">disambiguation</w:t>
      </w:r>
      <w:r>
        <w:t xml:space="preserve"> </w:t>
      </w:r>
      <w:r>
        <w:t xml:space="preserve">(R-12, R-13), and the presence of</w:t>
      </w:r>
      <w:r>
        <w:t xml:space="preserve"> </w:t>
      </w:r>
      <w:r>
        <w:rPr>
          <w:rStyle w:val="VerbatimChar"/>
        </w:rPr>
        <w:t xml:space="preserve">location_resolution</w:t>
      </w:r>
      <w:r>
        <w:t xml:space="preserve"> </w:t>
      </w:r>
      <w:r>
        <w:t xml:space="preserve">constrains the zone to</w:t>
      </w:r>
      <w:r>
        <w:t xml:space="preserve"> </w:t>
      </w:r>
      <w:r>
        <w:rPr>
          <w:rStyle w:val="VerbatimChar"/>
        </w:rPr>
        <w:t xml:space="preserve">Point</w:t>
      </w:r>
      <w:r>
        <w:t xml:space="preserve"> </w:t>
      </w:r>
      <w:r>
        <w:t xml:space="preserve">or</w:t>
      </w:r>
      <w:r>
        <w:t xml:space="preserve"> </w:t>
      </w:r>
      <w:r>
        <w:rPr>
          <w:rStyle w:val="VerbatimChar"/>
        </w:rPr>
        <w:t xml:space="preserve">LineString</w:t>
      </w:r>
      <w:r>
        <w:t xml:space="preserve"> </w:t>
      </w:r>
      <w:r>
        <w:t xml:space="preserve">geometry with</w:t>
      </w:r>
      <w:r>
        <w:t xml:space="preserve"> </w:t>
      </w:r>
      <w:r>
        <w:rPr>
          <w:rStyle w:val="VerbatimChar"/>
        </w:rPr>
        <w:t xml:space="preserve">buffer_m</w:t>
      </w:r>
      <w:r>
        <w:t xml:space="preserve"> </w:t>
      </w:r>
      <w:r>
        <w:t xml:space="preserve">required and capped at 250 (R-4, R-6). The 250 cap is expressed as a per-zone override of the general 5000 m buffer maximum, so a resolved zone cannot reach the ordinary limit.</w:t>
      </w:r>
      <w:r>
        <w:t xml:space="preserve"> </w:t>
      </w:r>
      <w:r>
        <w:rPr>
          <w:rStyle w:val="VerbatimChar"/>
        </w:rPr>
        <w:t xml:space="preserve">AMBIGUOUS_LOCATION</w:t>
      </w:r>
      <w:r>
        <w:t xml:space="preserve"> </w:t>
      </w:r>
      <w:r>
        <w:t xml:space="preserve">and</w:t>
      </w:r>
      <w:r>
        <w:t xml:space="preserve"> </w:t>
      </w:r>
      <w:r>
        <w:rPr>
          <w:rStyle w:val="VerbatimChar"/>
        </w:rPr>
        <w:t xml:space="preserve">LOCATION_NOT_RESOLVABLE</w:t>
      </w:r>
      <w:r>
        <w:t xml:space="preserve"> </w:t>
      </w:r>
      <w:r>
        <w:t xml:space="preserve">added to the</w:t>
      </w:r>
      <w:r>
        <w:t xml:space="preserve"> </w:t>
      </w:r>
      <w:r>
        <w:rPr>
          <w:rStyle w:val="VerbatimChar"/>
        </w:rPr>
        <w:t xml:space="preserve">rejection_code</w:t>
      </w:r>
      <w:r>
        <w:t xml:space="preserve"> </w:t>
      </w:r>
      <w:r>
        <w:t xml:space="preserve">enum in</w:t>
      </w:r>
      <w:r>
        <w:t xml:space="preserve"> </w:t>
      </w:r>
      <w:r>
        <w:rPr>
          <w:rStyle w:val="VerbatimChar"/>
        </w:rPr>
        <w:t xml:space="preserve">acknowledgement.schema.json</w:t>
      </w:r>
      <w:r>
        <w:t xml:space="preserve">.</w:t>
      </w:r>
    </w:p>
    <w:p>
      <w:pPr>
        <w:pStyle w:val="BodyText"/>
      </w:pPr>
      <w:r>
        <w:rPr>
          <w:bCs/>
          <w:b/>
        </w:rPr>
        <w:t xml:space="preserve">Validator.</w:t>
      </w:r>
      <w:r>
        <w:t xml:space="preserve"> </w:t>
      </w:r>
      <w:r>
        <w:rPr>
          <w:rStyle w:val="VerbatimChar"/>
        </w:rPr>
        <w:t xml:space="preserve">RESOLVED_BUFFER_MAX_M = 250</w:t>
      </w:r>
      <w:r>
        <w:t xml:space="preserve"> </w:t>
      </w:r>
      <w:r>
        <w:t xml:space="preserve">and a resolution block in</w:t>
      </w:r>
      <w:r>
        <w:t xml:space="preserve"> </w:t>
      </w:r>
      <w:r>
        <w:rPr>
          <w:rStyle w:val="VerbatimChar"/>
        </w:rPr>
        <w:t xml:space="preserve">semantic_checks</w:t>
      </w:r>
      <w:r>
        <w:t xml:space="preserve"> </w:t>
      </w:r>
      <w:r>
        <w:t xml:space="preserve">covering R-4, R-6, R-13 and R-15. The verbatim</w:t>
      </w:r>
      <w:r>
        <w:t xml:space="preserve"> </w:t>
      </w:r>
      <w:r>
        <w:rPr>
          <w:rStyle w:val="VerbatimChar"/>
        </w:rPr>
        <w:t xml:space="preserve">source_text</w:t>
      </w:r>
      <w:r>
        <w:t xml:space="preserve"> </w:t>
      </w:r>
      <w:r>
        <w:t xml:space="preserve">is also run through the 6.1 free-text hygiene checks, because it is caller-supplied prose that lands in a three-year record: a dispatcher who reads a licence plate or a name into the phone should not have it laundered into the audit trail through the location field.</w:t>
      </w:r>
    </w:p>
    <w:p>
      <w:pPr>
        <w:pStyle w:val="BodyText"/>
      </w:pPr>
      <w:r>
        <w:t xml:space="preserve">R-4, R-6 and R-13 are enforced by the schema first and by the validator second. That redundancy is deliberate.</w:t>
      </w:r>
      <w:r>
        <w:t xml:space="preserve"> </w:t>
      </w:r>
      <w:r>
        <w:rPr>
          <w:rStyle w:val="VerbatimChar"/>
        </w:rPr>
        <w:t xml:space="preserve">validate.py</w:t>
      </w:r>
      <w:r>
        <w:t xml:space="preserve"> </w:t>
      </w:r>
      <w:r>
        <w:t xml:space="preserve">is the reference implementation a receiver reads to understand what to build, and a receiver that validates against the schema alone still needs the checks in a form it can port. Both paths were exercised directly to confirm neither is dead code.</w:t>
      </w:r>
    </w:p>
    <w:p>
      <w:pPr>
        <w:pStyle w:val="BodyText"/>
      </w:pPr>
      <w:r>
        <w:t xml:space="preserve">R-9 containment, R-11 resolvability, R-14 rejection delivery, R-16 non-enlargement on</w:t>
      </w:r>
      <w:r>
        <w:t xml:space="preserve"> </w:t>
      </w:r>
      <w:r>
        <w:rPr>
          <w:rStyle w:val="VerbatimChar"/>
        </w:rPr>
        <w:t xml:space="preserve">EXTEND</w:t>
      </w:r>
      <w:r>
        <w:t xml:space="preserve">, and R-17's audit completeness are outside the reference validator. The first two need a registry and a resolver, the third needs a delivery path, and the fourth needs cross-message state, all for the same reasons Section 13 gives for signature verification.</w:t>
      </w:r>
    </w:p>
    <w:p>
      <w:pPr>
        <w:pStyle w:val="BodyText"/>
      </w:pPr>
      <w:r>
        <w:rPr>
          <w:bCs/>
          <w:b/>
        </w:rPr>
        <w:t xml:space="preserve">Regression cases.</w:t>
      </w:r>
      <w:r>
        <w:t xml:space="preserve"> </w:t>
      </w:r>
      <w:r>
        <w:t xml:space="preserve">Four new examples, and the suite reports all 20 behaving as expected: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exercises</w:t>
            </w:r>
          </w:p>
        </w:tc>
      </w:tr>
      <w:tr>
        <w:tc>
          <w:tcPr/>
          <w:p>
            <w:pPr>
              <w:pStyle w:val="Compact"/>
              <w:jc w:val="left"/>
            </w:pPr>
            <w:r>
              <w:rPr>
                <w:rStyle w:val="VerbatimChar"/>
              </w:rPr>
              <w:t xml:space="preserve">examples/09-resolved-intersection.json</w:t>
            </w:r>
          </w:p>
        </w:tc>
        <w:tc>
          <w:tcPr/>
          <w:p>
            <w:pPr>
              <w:pStyle w:val="Compact"/>
              <w:jc w:val="left"/>
            </w:pPr>
            <w:r>
              <w:t xml:space="preserve">The positive case. A resolved intersection at</w:t>
            </w:r>
            <w:r>
              <w:t xml:space="preserve"> </w:t>
            </w:r>
            <w:r>
              <w:rPr>
                <w:rStyle w:val="VerbatimChar"/>
              </w:rPr>
              <w:t xml:space="preserve">AVOID</w:t>
            </w:r>
            <w:r>
              <w:t xml:space="preserve">, 100 m buffer, one candidate, 0.031 km² against a Tier 1 ceiling of 2 km²</w:t>
            </w:r>
          </w:p>
        </w:tc>
      </w:tr>
      <w:tr>
        <w:tc>
          <w:tcPr/>
          <w:p>
            <w:pPr>
              <w:pStyle w:val="Compact"/>
              <w:jc w:val="left"/>
            </w:pPr>
            <w:r>
              <w:rPr>
                <w:rStyle w:val="VerbatimChar"/>
              </w:rPr>
              <w:t xml:space="preserve">examples/invalid/100-resolved-buffer-over-ceiling.json</w:t>
            </w:r>
          </w:p>
        </w:tc>
        <w:tc>
          <w:tcPr/>
          <w:p>
            <w:pPr>
              <w:pStyle w:val="Compact"/>
              <w:jc w:val="left"/>
            </w:pPr>
            <w:r>
              <w:t xml:space="preserve">R-6. A 400 m radius resolved from "the Valencia corridor around 19th", which is a district-sized guess dressed as an intersection</w:t>
            </w:r>
          </w:p>
        </w:tc>
      </w:tr>
      <w:tr>
        <w:tc>
          <w:tcPr/>
          <w:p>
            <w:pPr>
              <w:pStyle w:val="Compact"/>
              <w:jc w:val="left"/>
            </w:pPr>
            <w:r>
              <w:rPr>
                <w:rStyle w:val="VerbatimChar"/>
              </w:rPr>
              <w:t xml:space="preserve">examples/invalid/101-resolved-prohibited-without-callback.json</w:t>
            </w:r>
          </w:p>
        </w:tc>
        <w:tc>
          <w:tcPr/>
          <w:p>
            <w:pPr>
              <w:pStyle w:val="Compact"/>
              <w:jc w:val="left"/>
            </w:pPr>
            <w:r>
              <w:t xml:space="preserve">R-15. A total closure over synthesized geometry, from a voice call verified only as</w:t>
            </w:r>
            <w:r>
              <w:t xml:space="preserve"> </w:t>
            </w:r>
            <w:r>
              <w:rPr>
                <w:rStyle w:val="VerbatimChar"/>
              </w:rPr>
              <w:t xml:space="preserve">KNOWN_CONTACT</w:t>
            </w:r>
          </w:p>
        </w:tc>
      </w:tr>
      <w:tr>
        <w:tc>
          <w:tcPr/>
          <w:p>
            <w:pPr>
              <w:pStyle w:val="Compact"/>
              <w:jc w:val="left"/>
            </w:pPr>
            <w:r>
              <w:rPr>
                <w:rStyle w:val="VerbatimChar"/>
              </w:rPr>
              <w:t xml:space="preserve">examples/invalid/102-resolved-ambiguous-no-disambiguation.json</w:t>
            </w:r>
          </w:p>
        </w:tc>
        <w:tc>
          <w:tcPr/>
          <w:p>
            <w:pPr>
              <w:pStyle w:val="Compact"/>
              <w:jc w:val="left"/>
            </w:pPr>
            <w:r>
              <w:t xml:space="preserve">R-12 and R-13. Three candidates matched "the Safeway on Market" and the resolver took the highest ranked one</w:t>
            </w:r>
          </w:p>
        </w:tc>
      </w:tr>
    </w:tbl>
    <w:p>
      <w:pPr>
        <w:pStyle w:val="BodyText"/>
      </w:pPr>
      <w:r>
        <w:t xml:space="preserve">Each fails for exactly one reason, which is the property that makes a regression case worth keeping.</w:t>
      </w:r>
    </w:p>
    <w:p>
      <w:pPr>
        <w:pStyle w:val="BodyText"/>
      </w:pPr>
      <w:r>
        <w:rPr>
          <w:bCs/>
          <w:b/>
        </w:rPr>
        <w:t xml:space="preserve">Still outstanding.</w:t>
      </w:r>
      <w:r>
        <w:t xml:space="preserve"> </w:t>
      </w:r>
      <w:r>
        <w:t xml:space="preserve">R-16 needs the cross-message state that Section 13 already identifies as missing, so an</w:t>
      </w:r>
      <w:r>
        <w:t xml:space="preserve"> </w:t>
      </w:r>
      <w:r>
        <w:rPr>
          <w:rStyle w:val="VerbatimChar"/>
        </w:rPr>
        <w:t xml:space="preserve">EXTEND</w:t>
      </w:r>
      <w:r>
        <w:t xml:space="preserve"> </w:t>
      </w:r>
      <w:r>
        <w:t xml:space="preserve">that enlarges a resolved zone is specified as forbidden and not yet detectable. That is the one rule here with no test behind it, and it should be first in line whenever cross-message validation arrives.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resolution rule</dc:title>
  <dc:creator/>
  <cp:keywords/>
  <dcterms:created xsi:type="dcterms:W3CDTF">2026-09-04T13:03:50Z</dcterms:created>
  <dcterms:modified xsi:type="dcterms:W3CDTF">2026-09-04T13:03:50Z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