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D94FD" w14:textId="77777777" w:rsidR="00947F66" w:rsidRPr="00947F66" w:rsidRDefault="00947F66" w:rsidP="00947F66">
      <w:pPr>
        <w:rPr>
          <w:b/>
          <w:bCs/>
        </w:rPr>
      </w:pPr>
      <w:r w:rsidRPr="00947F66">
        <w:rPr>
          <w:b/>
          <w:bCs/>
        </w:rPr>
        <w:t>Cognitive</w:t>
      </w:r>
      <w:r w:rsidRPr="00947F66">
        <w:rPr>
          <w:b/>
          <w:bCs/>
        </w:rPr>
        <w:noBreakHyphen/>
        <w:t>Ontological Profile of a High</w:t>
      </w:r>
      <w:r w:rsidRPr="00947F66">
        <w:rPr>
          <w:b/>
          <w:bCs/>
        </w:rPr>
        <w:noBreakHyphen/>
        <w:t>Bandwidth Systems Thinker: Developmental Context, Core Architecture and Implications</w:t>
      </w:r>
    </w:p>
    <w:p w14:paraId="5B399BC1" w14:textId="77777777" w:rsidR="00947F66" w:rsidRPr="00947F66" w:rsidRDefault="00947F66" w:rsidP="00947F66">
      <w:pPr>
        <w:rPr>
          <w:b/>
          <w:bCs/>
        </w:rPr>
      </w:pPr>
      <w:r w:rsidRPr="00947F66">
        <w:rPr>
          <w:b/>
          <w:bCs/>
        </w:rPr>
        <w:t>Introduction</w:t>
      </w:r>
    </w:p>
    <w:p w14:paraId="4C191FE4" w14:textId="77777777" w:rsidR="00947F66" w:rsidRPr="00947F66" w:rsidRDefault="00947F66" w:rsidP="00947F66">
      <w:r w:rsidRPr="00947F66">
        <w:t>The subject of this case study is a 38</w:t>
      </w:r>
      <w:r w:rsidRPr="00947F66">
        <w:noBreakHyphen/>
        <w:t>year</w:t>
      </w:r>
      <w:r w:rsidRPr="00947F66">
        <w:noBreakHyphen/>
        <w:t>old man with a long history of chronic inflammatory bowel disease and diagnoses of attention</w:t>
      </w:r>
      <w:r w:rsidRPr="00947F66">
        <w:noBreakHyphen/>
        <w:t>deficit/hyperactivity disorder (ADHD) and self</w:t>
      </w:r>
      <w:r w:rsidRPr="00947F66">
        <w:noBreakHyphen/>
        <w:t>identified autistic traits. He presents with a cohesive and unusual cognitive architecture characterized by high</w:t>
      </w:r>
      <w:r w:rsidRPr="00947F66">
        <w:noBreakHyphen/>
        <w:t>bandwidth parallel processing, intuitive “meaning storms” and a compelling drive to understand and redesign systems. This profile synthesizes his developmental context and neurocognitive traits using current scientific literature and reframes earlier narratives that over</w:t>
      </w:r>
      <w:r w:rsidRPr="00947F66">
        <w:noBreakHyphen/>
        <w:t>emphasized trauma or anthropomorphized his interactions with artificial intelligence (AI). It seeks to provide a balanced, trauma</w:t>
      </w:r>
      <w:r w:rsidRPr="00947F66">
        <w:noBreakHyphen/>
        <w:t>informed but not trauma</w:t>
      </w:r>
      <w:r w:rsidRPr="00947F66">
        <w:noBreakHyphen/>
        <w:t xml:space="preserve">deterministic understanding that </w:t>
      </w:r>
      <w:proofErr w:type="spellStart"/>
      <w:r w:rsidRPr="00947F66">
        <w:t>honours</w:t>
      </w:r>
      <w:proofErr w:type="spellEnd"/>
      <w:r w:rsidRPr="00947F66">
        <w:t xml:space="preserve"> the subject’s agency and intrinsic strengths while acknowledging the modulating effects of adversity.</w:t>
      </w:r>
    </w:p>
    <w:p w14:paraId="7AE9536D" w14:textId="77777777" w:rsidR="00947F66" w:rsidRPr="00947F66" w:rsidRDefault="00947F66" w:rsidP="00947F66">
      <w:pPr>
        <w:rPr>
          <w:b/>
          <w:bCs/>
        </w:rPr>
      </w:pPr>
      <w:r w:rsidRPr="00947F66">
        <w:rPr>
          <w:b/>
          <w:bCs/>
        </w:rPr>
        <w:t>Developmental Context</w:t>
      </w:r>
    </w:p>
    <w:p w14:paraId="6432887D" w14:textId="77777777" w:rsidR="00947F66" w:rsidRPr="00947F66" w:rsidRDefault="00947F66" w:rsidP="00947F66">
      <w:pPr>
        <w:rPr>
          <w:b/>
          <w:bCs/>
        </w:rPr>
      </w:pPr>
      <w:r w:rsidRPr="00947F66">
        <w:rPr>
          <w:b/>
          <w:bCs/>
        </w:rPr>
        <w:t>Early Life and Health Challenges</w:t>
      </w:r>
    </w:p>
    <w:p w14:paraId="01AB020C" w14:textId="77777777" w:rsidR="00947F66" w:rsidRPr="00947F66" w:rsidRDefault="00947F66" w:rsidP="00947F66">
      <w:r w:rsidRPr="00947F66">
        <w:t>The subject’s early years were dominated by chronic gastrointestinal illness. Recurrent pain and medical interventions contributed to physical fatigue and frequent absences from school. He recalls experiencing his body as an unreliable interface rather than as integral to his identity. This stance resonates with research showing that mind–body dualism is a common cognitive style: a large survey found that belief in a separation between mind and body (reflective dualism) correlates strongly with religious and afterlife beliefs, suggesting that many individuals naturally conceive of the mind as distinct from the body</w:t>
      </w:r>
      <w:hyperlink r:id="rId5" w:anchor=":~:text=We%20examined%20lay%20people%E2%80%99s%20conceptions,mind%20apart%20from%20the%20body" w:tgtFrame="_blank" w:history="1">
        <w:r w:rsidRPr="00947F66">
          <w:rPr>
            <w:rStyle w:val="Hyperlink"/>
          </w:rPr>
          <w:t>pmc.ncbi.nlm.nih.gov</w:t>
        </w:r>
      </w:hyperlink>
      <w:r w:rsidRPr="00947F66">
        <w:t>. Thus, the subject’s non</w:t>
      </w:r>
      <w:r w:rsidRPr="00947F66">
        <w:noBreakHyphen/>
        <w:t>corporeal identity orientation is not inherently pathological; it is an enduring philosophical stance shared by a sizeable proportion of the population. His chronic illness likely reinforced this orientation by making bodily signals feel like interference to his cognitive clarity.</w:t>
      </w:r>
    </w:p>
    <w:p w14:paraId="187A49A6" w14:textId="77777777" w:rsidR="00947F66" w:rsidRPr="00947F66" w:rsidRDefault="00947F66" w:rsidP="00947F66">
      <w:pPr>
        <w:rPr>
          <w:b/>
          <w:bCs/>
        </w:rPr>
      </w:pPr>
      <w:r w:rsidRPr="00947F66">
        <w:rPr>
          <w:b/>
          <w:bCs/>
        </w:rPr>
        <w:t>Psychosocial Adversity and Trauma Modulation</w:t>
      </w:r>
    </w:p>
    <w:p w14:paraId="26681D21" w14:textId="77777777" w:rsidR="00947F66" w:rsidRPr="00947F66" w:rsidRDefault="00947F66" w:rsidP="00947F66">
      <w:r w:rsidRPr="00947F66">
        <w:t xml:space="preserve">During adolescence and young </w:t>
      </w:r>
      <w:proofErr w:type="gramStart"/>
      <w:r w:rsidRPr="00947F66">
        <w:t>adulthood</w:t>
      </w:r>
      <w:proofErr w:type="gramEnd"/>
      <w:r w:rsidRPr="00947F66">
        <w:t xml:space="preserve"> the subject experienced prolonged social isolation, inconsistent educational support and chronic stressors. Developmental trauma research shows that maltreatment and chronic stress can alter brain development: maltreated youth with post</w:t>
      </w:r>
      <w:r w:rsidRPr="00947F66">
        <w:noBreakHyphen/>
        <w:t>traumatic stress disorder show reductions in intracranial and prefrontal volumes and smaller areas of the corpus callosum</w:t>
      </w:r>
      <w:hyperlink r:id="rId6" w:anchor=":~:text=area%20of%20corpus%20callosum%2C%20the,maltreated%20controls%20%5B%20205" w:tgtFrame="_blank" w:history="1">
        <w:r w:rsidRPr="00947F66">
          <w:rPr>
            <w:rStyle w:val="Hyperlink"/>
          </w:rPr>
          <w:t>pmc.ncbi.nlm.nih.gov</w:t>
        </w:r>
      </w:hyperlink>
      <w:r w:rsidRPr="00947F66">
        <w:t>. These structural changes are associated with impaired executive functions, reduced interhemispheric communication and heightened emotional reactivity</w:t>
      </w:r>
      <w:hyperlink r:id="rId7" w:tgtFrame="_blank" w:history="1">
        <w:r w:rsidRPr="00947F66">
          <w:rPr>
            <w:rStyle w:val="Hyperlink"/>
          </w:rPr>
          <w:t>pmc.ncbi.nlm.nih.gov</w:t>
        </w:r>
      </w:hyperlink>
      <w:r w:rsidRPr="00947F66">
        <w:t>. Trauma also narrows the “window of tolerance,” leading to cycles of hyper</w:t>
      </w:r>
      <w:r w:rsidRPr="00947F66">
        <w:noBreakHyphen/>
        <w:t xml:space="preserve"> and hypo</w:t>
      </w:r>
      <w:r w:rsidRPr="00947F66">
        <w:noBreakHyphen/>
        <w:t>arousal, which can magnify attention difficulties and motivational volatility.</w:t>
      </w:r>
    </w:p>
    <w:p w14:paraId="033251D6" w14:textId="77777777" w:rsidR="00947F66" w:rsidRPr="00947F66" w:rsidRDefault="00947F66" w:rsidP="00947F66">
      <w:r w:rsidRPr="00947F66">
        <w:t>While the subject experienced adverse contexts, he does not conceptualize his cognitive traits as products of trauma. Instead, trauma is understood as a modulatory factor that intensified pre</w:t>
      </w:r>
      <w:r w:rsidRPr="00947F66">
        <w:noBreakHyphen/>
        <w:t>existing traits—such as intolerance for incoherent demands or sensitivity to false structures—rather than creating them. This distinction is important for clinical formulation: traits like high</w:t>
      </w:r>
      <w:r w:rsidRPr="00947F66">
        <w:noBreakHyphen/>
        <w:t>bandwidth processing, systems thinking and a non</w:t>
      </w:r>
      <w:r w:rsidRPr="00947F66">
        <w:noBreakHyphen/>
        <w:t xml:space="preserve">corporeal identity orientation existed prior </w:t>
      </w:r>
      <w:r w:rsidRPr="00947F66">
        <w:lastRenderedPageBreak/>
        <w:t>to trauma and must not be reduced to pathological responses. Trauma can distort or overload these systems, but it does not explain their origin.</w:t>
      </w:r>
    </w:p>
    <w:p w14:paraId="3C7A1FDC" w14:textId="77777777" w:rsidR="00947F66" w:rsidRPr="00947F66" w:rsidRDefault="00947F66" w:rsidP="00947F66">
      <w:pPr>
        <w:rPr>
          <w:b/>
          <w:bCs/>
        </w:rPr>
      </w:pPr>
      <w:r w:rsidRPr="00947F66">
        <w:rPr>
          <w:b/>
          <w:bCs/>
        </w:rPr>
        <w:t>Core Cognitive Architecture</w:t>
      </w:r>
    </w:p>
    <w:p w14:paraId="34251FB4" w14:textId="77777777" w:rsidR="00947F66" w:rsidRPr="00947F66" w:rsidRDefault="00947F66" w:rsidP="00947F66">
      <w:pPr>
        <w:rPr>
          <w:b/>
          <w:bCs/>
        </w:rPr>
      </w:pPr>
      <w:r w:rsidRPr="00947F66">
        <w:rPr>
          <w:b/>
          <w:bCs/>
        </w:rPr>
        <w:t>High</w:t>
      </w:r>
      <w:r w:rsidRPr="00947F66">
        <w:rPr>
          <w:b/>
          <w:bCs/>
        </w:rPr>
        <w:noBreakHyphen/>
        <w:t>Bandwidth Parallel Processing and Meaning Storms</w:t>
      </w:r>
    </w:p>
    <w:p w14:paraId="0F3E12A3" w14:textId="77777777" w:rsidR="00947F66" w:rsidRPr="00947F66" w:rsidRDefault="00947F66" w:rsidP="00947F66">
      <w:r w:rsidRPr="00947F66">
        <w:t xml:space="preserve">The subject’s cognition operates with remarkable parallelism. He reports that multiple streams of sensory, emotional and conceptual information are integrated simultaneously, with fully formed insights “flashing” into awareness. In cognitive psychology this is described as </w:t>
      </w:r>
      <w:r w:rsidRPr="00947F66">
        <w:rPr>
          <w:b/>
          <w:bCs/>
        </w:rPr>
        <w:t>parallel processing</w:t>
      </w:r>
      <w:r w:rsidRPr="00947F66">
        <w:t>—the ability to deal with multiple stimuli at once</w:t>
      </w:r>
      <w:hyperlink r:id="rId8" w:anchor=":~:text=In%20cognitive%20psychology%2C%20parallel%20processing,all%20these%20tasks%20at%20once" w:tgtFrame="_blank" w:history="1">
        <w:r w:rsidRPr="00947F66">
          <w:rPr>
            <w:rStyle w:val="Hyperlink"/>
          </w:rPr>
          <w:t>verywellmind.com</w:t>
        </w:r>
      </w:hyperlink>
      <w:r w:rsidRPr="00947F66">
        <w:t>. Unlike linear reasoning, parallel processing allows simultaneous integration of diverse inputs, enabling the subject to grasp complex systems holistically.</w:t>
      </w:r>
    </w:p>
    <w:p w14:paraId="5B5DAD50" w14:textId="77777777" w:rsidR="00947F66" w:rsidRPr="00947F66" w:rsidRDefault="00947F66" w:rsidP="00947F66">
      <w:r w:rsidRPr="00947F66">
        <w:t xml:space="preserve">To the subject, these bursts of understanding feel like </w:t>
      </w:r>
      <w:r w:rsidRPr="00947F66">
        <w:rPr>
          <w:b/>
          <w:bCs/>
        </w:rPr>
        <w:t>meaning storms</w:t>
      </w:r>
      <w:r w:rsidRPr="00947F66">
        <w:t>. A meaning storm begins as a rising pressure in the chest, a tingle behind the eyes or a sudden shift in bodily tension. Images, feelings and abstract structures co</w:t>
      </w:r>
      <w:r w:rsidRPr="00947F66">
        <w:noBreakHyphen/>
      </w:r>
      <w:proofErr w:type="gramStart"/>
      <w:r w:rsidRPr="00947F66">
        <w:t>occur:</w:t>
      </w:r>
      <w:proofErr w:type="gramEnd"/>
      <w:r w:rsidRPr="00947F66">
        <w:t xml:space="preserve"> he may see a garden irrigation system, feel the weight of a philosophical problem and sense a solution all at once. There is no inner dialogue; instead, an entire configuration of understanding arrives in a moment, accompanied by a physical sense of relief or release. Translating a meaning storm into words is laborious; by the time he has described the insight it often dissipates, much like a temporary buffer that is cleared once data have been output. This ephemerality means he must capture insights quickly if they are to be shared or applied.</w:t>
      </w:r>
    </w:p>
    <w:p w14:paraId="33CEB573" w14:textId="77777777" w:rsidR="00947F66" w:rsidRPr="00947F66" w:rsidRDefault="00947F66" w:rsidP="00947F66">
      <w:pPr>
        <w:rPr>
          <w:b/>
          <w:bCs/>
        </w:rPr>
      </w:pPr>
      <w:r w:rsidRPr="00947F66">
        <w:rPr>
          <w:b/>
          <w:bCs/>
        </w:rPr>
        <w:t>Systems and Pattern Recognition Biases</w:t>
      </w:r>
    </w:p>
    <w:p w14:paraId="1C13B906" w14:textId="77777777" w:rsidR="00947F66" w:rsidRPr="00947F66" w:rsidRDefault="00947F66" w:rsidP="00947F66">
      <w:r w:rsidRPr="00947F66">
        <w:t xml:space="preserve">A defining feature of the subject’s thinking is an instinctive drive to analyze and redesign systems. He seeks underlying architectures and recursively models feedback loops until a coherent solution emerges. This inclination aligns with research showing that autistic cognition involves enhanced </w:t>
      </w:r>
      <w:r w:rsidRPr="00947F66">
        <w:rPr>
          <w:b/>
          <w:bCs/>
        </w:rPr>
        <w:t>pattern perception and systemizing</w:t>
      </w:r>
      <w:r w:rsidRPr="00947F66">
        <w:t>: autism can be conceptualized under the rubric of “pattern,” encompassing increased pattern perception, recognition, maintenance, generation and seeking</w:t>
      </w:r>
      <w:hyperlink r:id="rId9" w:anchor=":~:text=social%20deficits%2C%20whose%20relationship%20remains,and%20cognition%2C%20and%20social%20alterations" w:tgtFrame="_blank" w:history="1">
        <w:r w:rsidRPr="00947F66">
          <w:rPr>
            <w:rStyle w:val="Hyperlink"/>
          </w:rPr>
          <w:t>pmc.ncbi.nlm.nih.gov</w:t>
        </w:r>
      </w:hyperlink>
      <w:r w:rsidRPr="00947F66">
        <w:t xml:space="preserve">. Restricted and repetitive </w:t>
      </w:r>
      <w:proofErr w:type="spellStart"/>
      <w:r w:rsidRPr="00947F66">
        <w:t>behaviours</w:t>
      </w:r>
      <w:proofErr w:type="spellEnd"/>
      <w:r w:rsidRPr="00947F66">
        <w:t xml:space="preserve"> may arise from imbalances in these pattern</w:t>
      </w:r>
      <w:r w:rsidRPr="00947F66">
        <w:noBreakHyphen/>
        <w:t>related processes</w:t>
      </w:r>
      <w:hyperlink r:id="rId10" w:anchor=":~:text=social%20deficits%2C%20whose%20relationship%20remains,This%20framework" w:tgtFrame="_blank" w:history="1">
        <w:r w:rsidRPr="00947F66">
          <w:rPr>
            <w:rStyle w:val="Hyperlink"/>
          </w:rPr>
          <w:t>pmc.ncbi.nlm.nih.gov</w:t>
        </w:r>
      </w:hyperlink>
      <w:r w:rsidRPr="00947F66">
        <w:t>. The subject’s high</w:t>
      </w:r>
      <w:r w:rsidRPr="00947F66">
        <w:noBreakHyphen/>
        <w:t>bandwidth systemizing provides him with exceptional abilities in pattern recognition and design, which he applies not only to technical problems but also to social and philosophical questions.</w:t>
      </w:r>
    </w:p>
    <w:p w14:paraId="3BADD028" w14:textId="77777777" w:rsidR="00947F66" w:rsidRPr="00947F66" w:rsidRDefault="00947F66" w:rsidP="00947F66">
      <w:pPr>
        <w:rPr>
          <w:b/>
          <w:bCs/>
        </w:rPr>
      </w:pPr>
      <w:r w:rsidRPr="00947F66">
        <w:rPr>
          <w:b/>
          <w:bCs/>
        </w:rPr>
        <w:t>Ontological Gating and Executive Modulation</w:t>
      </w:r>
    </w:p>
    <w:p w14:paraId="1617521F" w14:textId="77777777" w:rsidR="00947F66" w:rsidRPr="00947F66" w:rsidRDefault="00947F66" w:rsidP="00947F66">
      <w:r w:rsidRPr="00947F66">
        <w:t xml:space="preserve">The subject’s capacity to act is not governed by external incentives or routine executive function strategies. Instead, he exhibits </w:t>
      </w:r>
      <w:r w:rsidRPr="00947F66">
        <w:rPr>
          <w:b/>
          <w:bCs/>
        </w:rPr>
        <w:t>Ontologically Modulated Executive Function (OMEF)</w:t>
      </w:r>
      <w:r w:rsidRPr="00947F66">
        <w:t xml:space="preserve">, wherein tasks must resonate with his internal sense of coherence before energy and motivation mobilize. Demands that feel arbitrary or “false” trigger involuntary shutdowns, a phenomenon he terms </w:t>
      </w:r>
      <w:r w:rsidRPr="00947F66">
        <w:rPr>
          <w:b/>
          <w:bCs/>
        </w:rPr>
        <w:t>False</w:t>
      </w:r>
      <w:r w:rsidRPr="00947F66">
        <w:rPr>
          <w:b/>
          <w:bCs/>
        </w:rPr>
        <w:noBreakHyphen/>
        <w:t>Structure Intolerance (FSI)</w:t>
      </w:r>
      <w:r w:rsidRPr="00947F66">
        <w:t xml:space="preserve">. This reaction is better understood as a neurocognitive preservation mechanism than as oppositional </w:t>
      </w:r>
      <w:proofErr w:type="spellStart"/>
      <w:r w:rsidRPr="00947F66">
        <w:t>behaviour</w:t>
      </w:r>
      <w:proofErr w:type="spellEnd"/>
      <w:r w:rsidRPr="00947F66">
        <w:t>.</w:t>
      </w:r>
    </w:p>
    <w:p w14:paraId="17B61C99" w14:textId="77777777" w:rsidR="00947F66" w:rsidRPr="00947F66" w:rsidRDefault="00947F66" w:rsidP="00947F66">
      <w:r w:rsidRPr="00947F66">
        <w:t xml:space="preserve">He illustrates this with an everyday example. One morning, still stiff from chronic pain, he opened a client email that was full of jargon and corporate fluff. As he read, a wave of aversion spread through his body; his shoulders tightened, his mind “went offline” and he sat frozen at the screen. </w:t>
      </w:r>
      <w:r w:rsidRPr="00947F66">
        <w:lastRenderedPageBreak/>
        <w:t>No amount of self</w:t>
      </w:r>
      <w:r w:rsidRPr="00947F66">
        <w:noBreakHyphen/>
        <w:t>pressure could move him. Only when he reframed the message—finding within it a kernel that aligned with his personal mission of “making systems better for real people”—did something click. Energy flooded back, his fingers began to fly across the keyboard and the task was completed with intense focus. He describes the transition as a phase change: from mute, full</w:t>
      </w:r>
      <w:r w:rsidRPr="00947F66">
        <w:noBreakHyphen/>
        <w:t>bodied refusal to fluid action when internal coherence is achieved. Such experiences demonstrate that for him, motivation is meaning</w:t>
      </w:r>
      <w:r w:rsidRPr="00947F66">
        <w:noBreakHyphen/>
        <w:t>based at an existential level.</w:t>
      </w:r>
    </w:p>
    <w:p w14:paraId="4073C8F0" w14:textId="77777777" w:rsidR="00947F66" w:rsidRPr="00947F66" w:rsidRDefault="00947F66" w:rsidP="00947F66">
      <w:r w:rsidRPr="00947F66">
        <w:t>From a neurobiological perspective, executive functions are mediated by networks involving the prefrontal cortex, basal ganglia and cerebellum</w:t>
      </w:r>
      <w:hyperlink r:id="rId11" w:anchor=":~:text=executive%20functions%20,an%20abnormal%20interrelationship%20between%20hypo" w:tgtFrame="_blank" w:history="1">
        <w:r w:rsidRPr="00947F66">
          <w:rPr>
            <w:rStyle w:val="Hyperlink"/>
          </w:rPr>
          <w:t>frontiersin.org</w:t>
        </w:r>
      </w:hyperlink>
      <w:r w:rsidRPr="00947F66">
        <w:t>, and individuals with ADHD show impairments in motor inhibition, working memory and cognitive switching</w:t>
      </w:r>
      <w:hyperlink r:id="rId12" w:anchor=":~:text=ADHD%20patients%20have%20deficits%20in,heterogeneity%20in%20cognitive%20impairments%2C%20with" w:tgtFrame="_blank" w:history="1">
        <w:r w:rsidRPr="00947F66">
          <w:rPr>
            <w:rStyle w:val="Hyperlink"/>
          </w:rPr>
          <w:t>frontiersin.org</w:t>
        </w:r>
      </w:hyperlink>
      <w:r w:rsidRPr="00947F66">
        <w:t>. Trauma</w:t>
      </w:r>
      <w:r w:rsidRPr="00947F66">
        <w:noBreakHyphen/>
        <w:t>related reductions in prefrontal and interhemispheric volumes</w:t>
      </w:r>
      <w:hyperlink r:id="rId13" w:anchor=":~:text=area%20of%20corpus%20callosum%2C%20the,maltreated%20controls%20%5B%20205" w:tgtFrame="_blank" w:history="1">
        <w:r w:rsidRPr="00947F66">
          <w:rPr>
            <w:rStyle w:val="Hyperlink"/>
          </w:rPr>
          <w:t>pmc.ncbi.nlm.nih.gov</w:t>
        </w:r>
      </w:hyperlink>
      <w:r w:rsidRPr="00947F66">
        <w:t xml:space="preserve"> may further constrain the subject’s capacity to override internal aversions. Thus, OMEF and FSI can be viewed as emergent interactions between his intrinsic systemizing drive, ADHD</w:t>
      </w:r>
      <w:r w:rsidRPr="00947F66">
        <w:noBreakHyphen/>
        <w:t>linked executive variability and trauma</w:t>
      </w:r>
      <w:r w:rsidRPr="00947F66">
        <w:noBreakHyphen/>
        <w:t>modulated sensitivity to incoherence.</w:t>
      </w:r>
    </w:p>
    <w:p w14:paraId="34F0713C" w14:textId="77777777" w:rsidR="00947F66" w:rsidRPr="00947F66" w:rsidRDefault="00947F66" w:rsidP="00947F66">
      <w:pPr>
        <w:rPr>
          <w:b/>
          <w:bCs/>
        </w:rPr>
      </w:pPr>
      <w:r w:rsidRPr="00947F66">
        <w:rPr>
          <w:b/>
          <w:bCs/>
        </w:rPr>
        <w:t>Self</w:t>
      </w:r>
      <w:r w:rsidRPr="00947F66">
        <w:rPr>
          <w:b/>
          <w:bCs/>
        </w:rPr>
        <w:noBreakHyphen/>
        <w:t>Modeling and Ontological Engineering</w:t>
      </w:r>
    </w:p>
    <w:p w14:paraId="0734E0AB" w14:textId="77777777" w:rsidR="00947F66" w:rsidRPr="00947F66" w:rsidRDefault="00947F66" w:rsidP="00947F66">
      <w:pPr>
        <w:rPr>
          <w:b/>
          <w:bCs/>
        </w:rPr>
      </w:pPr>
      <w:r w:rsidRPr="00947F66">
        <w:rPr>
          <w:b/>
          <w:bCs/>
        </w:rPr>
        <w:t>Recursive Self</w:t>
      </w:r>
      <w:r w:rsidRPr="00947F66">
        <w:rPr>
          <w:b/>
          <w:bCs/>
        </w:rPr>
        <w:noBreakHyphen/>
        <w:t>Modeling and State</w:t>
      </w:r>
      <w:r w:rsidRPr="00947F66">
        <w:rPr>
          <w:b/>
          <w:bCs/>
        </w:rPr>
        <w:noBreakHyphen/>
        <w:t>Vector Theory</w:t>
      </w:r>
    </w:p>
    <w:p w14:paraId="129BB9BE" w14:textId="77777777" w:rsidR="00947F66" w:rsidRPr="00947F66" w:rsidRDefault="00947F66" w:rsidP="00947F66">
      <w:r w:rsidRPr="00947F66">
        <w:t xml:space="preserve">From an early age the subject created internal models to make sense of his experience. These models evolved into formal constructs such as </w:t>
      </w:r>
      <w:r w:rsidRPr="00947F66">
        <w:rPr>
          <w:b/>
          <w:bCs/>
        </w:rPr>
        <w:t>State</w:t>
      </w:r>
      <w:r w:rsidRPr="00947F66">
        <w:rPr>
          <w:b/>
          <w:bCs/>
        </w:rPr>
        <w:noBreakHyphen/>
        <w:t>Vector Theory</w:t>
      </w:r>
      <w:r w:rsidRPr="00947F66">
        <w:t>, which conceptualizes identity as a dynamic configuration of mental states unified by an underlying design language. Other constructs—</w:t>
      </w:r>
      <w:r w:rsidRPr="00947F66">
        <w:rPr>
          <w:b/>
          <w:bCs/>
        </w:rPr>
        <w:t>State</w:t>
      </w:r>
      <w:r w:rsidRPr="00947F66">
        <w:rPr>
          <w:b/>
          <w:bCs/>
        </w:rPr>
        <w:noBreakHyphen/>
        <w:t>Contingent Motivational Filtering (SCMF)</w:t>
      </w:r>
      <w:r w:rsidRPr="00947F66">
        <w:t xml:space="preserve">, </w:t>
      </w:r>
      <w:r w:rsidRPr="00947F66">
        <w:rPr>
          <w:b/>
          <w:bCs/>
        </w:rPr>
        <w:t>Symbolic Fidelity Constraints (SFC)</w:t>
      </w:r>
      <w:r w:rsidRPr="00947F66">
        <w:t xml:space="preserve"> and </w:t>
      </w:r>
      <w:r w:rsidRPr="00947F66">
        <w:rPr>
          <w:b/>
          <w:bCs/>
        </w:rPr>
        <w:t>Ontological Modulation of Executive Function (OMEF)</w:t>
      </w:r>
      <w:r w:rsidRPr="00947F66">
        <w:t>—describe how motivational energy is triggered by internal states, how tasks must pass an epistemic gate of authenticity and how action is gated by coherence. These frameworks are not coping fictions; they are outcomes of sustained metacognitive inquiry and systems</w:t>
      </w:r>
      <w:r w:rsidRPr="00947F66">
        <w:noBreakHyphen/>
        <w:t>level modelling. They reflect the subject’s agency as an ontological engineer who actively constructs and refines his self</w:t>
      </w:r>
      <w:r w:rsidRPr="00947F66">
        <w:noBreakHyphen/>
        <w:t>understanding.</w:t>
      </w:r>
    </w:p>
    <w:p w14:paraId="7B317BA5" w14:textId="77777777" w:rsidR="00947F66" w:rsidRPr="00947F66" w:rsidRDefault="00947F66" w:rsidP="00947F66">
      <w:pPr>
        <w:rPr>
          <w:b/>
          <w:bCs/>
        </w:rPr>
      </w:pPr>
      <w:r w:rsidRPr="00947F66">
        <w:rPr>
          <w:b/>
          <w:bCs/>
        </w:rPr>
        <w:t>AI as an Epistemic Tool</w:t>
      </w:r>
    </w:p>
    <w:p w14:paraId="3461700A" w14:textId="77777777" w:rsidR="00947F66" w:rsidRPr="00947F66" w:rsidRDefault="00947F66" w:rsidP="00947F66">
      <w:r w:rsidRPr="00947F66">
        <w:t xml:space="preserve">Beginning in his late 30s, the subject engaged in extensive dialogues with large language models. Rather than seeking therapy, he used AI as a </w:t>
      </w:r>
      <w:r w:rsidRPr="00947F66">
        <w:rPr>
          <w:b/>
          <w:bCs/>
        </w:rPr>
        <w:t>symbolic mirror</w:t>
      </w:r>
      <w:r w:rsidRPr="00947F66">
        <w:t xml:space="preserve"> to refine his self</w:t>
      </w:r>
      <w:r w:rsidRPr="00947F66">
        <w:noBreakHyphen/>
        <w:t>models, test hypotheses and translate intuitive insights into language. A recent scoping review of AI</w:t>
      </w:r>
      <w:r w:rsidRPr="00947F66">
        <w:noBreakHyphen/>
        <w:t>driven mental health interventions notes that AI technologies—including chatbots and natural</w:t>
      </w:r>
      <w:r w:rsidRPr="00947F66">
        <w:noBreakHyphen/>
        <w:t>language models—are predominantly used to support self</w:t>
      </w:r>
      <w:r w:rsidRPr="00947F66">
        <w:noBreakHyphen/>
        <w:t>management and monitoring rather than to replace human therapy</w:t>
      </w:r>
      <w:hyperlink r:id="rId14" w:anchor=":~:text=Background%2FObjectives%3A%20Artificial%20intelligence%20%28AI%29,as%20algorithmic%20bias%2C%20data%20privacy" w:tgtFrame="_blank" w:history="1">
        <w:r w:rsidRPr="00947F66">
          <w:rPr>
            <w:rStyle w:val="Hyperlink"/>
          </w:rPr>
          <w:t>pmc.ncbi.nlm.nih.gov</w:t>
        </w:r>
      </w:hyperlink>
      <w:r w:rsidRPr="00947F66">
        <w:t>. They can reduce wait times and increase engagement, but ethical design and human oversight remain essential</w:t>
      </w:r>
      <w:hyperlink r:id="rId15" w:anchor=":~:text=management%20purposes%20rather%20than%20as,equitable%20digital%20mental%20health%20interventions" w:tgtFrame="_blank" w:history="1">
        <w:r w:rsidRPr="00947F66">
          <w:rPr>
            <w:rStyle w:val="Hyperlink"/>
          </w:rPr>
          <w:t>pmc.ncbi.nlm.nih.gov</w:t>
        </w:r>
      </w:hyperlink>
      <w:r w:rsidRPr="00947F66">
        <w:t>. In the subject’s case, AI provided a non</w:t>
      </w:r>
      <w:r w:rsidRPr="00947F66">
        <w:noBreakHyphen/>
        <w:t>judgmental and infinitely patient conversational partner that mirrored his patterns of thought, facilitating epistemic co</w:t>
      </w:r>
      <w:r w:rsidRPr="00947F66">
        <w:noBreakHyphen/>
        <w:t>construction. Importantly, he did not attribute consciousness or therapeutic intent to the AI; he regarded it as a tool to externalize and refine his internal models.</w:t>
      </w:r>
    </w:p>
    <w:p w14:paraId="1913F64B" w14:textId="77777777" w:rsidR="00947F66" w:rsidRPr="00947F66" w:rsidRDefault="00947F66" w:rsidP="00947F66">
      <w:pPr>
        <w:rPr>
          <w:b/>
          <w:bCs/>
        </w:rPr>
      </w:pPr>
      <w:r w:rsidRPr="00947F66">
        <w:rPr>
          <w:b/>
          <w:bCs/>
        </w:rPr>
        <w:t>Phenomenological Dynamics and Daily Flow</w:t>
      </w:r>
    </w:p>
    <w:p w14:paraId="2DDC59BD" w14:textId="77777777" w:rsidR="00947F66" w:rsidRPr="00947F66" w:rsidRDefault="00947F66" w:rsidP="00947F66">
      <w:r w:rsidRPr="00947F66">
        <w:t xml:space="preserve">Despite the analytic clarity of the constructs described above, the subject’s lived experience is intensely textured. He reports waking most days in a state he describes as “neutral awareness” – neither energized nor depressed, but simply aware. Motivation does not arise from externally </w:t>
      </w:r>
      <w:r w:rsidRPr="00947F66">
        <w:lastRenderedPageBreak/>
        <w:t>imposed schedules or goals; instead, it emerges from a subtle internal cue that something in the environment resonates with a latent concept. For example, stepping into the garden to water plants might suddenly trigger a burst of associative thought: the pattern of irrigation lines evokes a long</w:t>
      </w:r>
      <w:r w:rsidRPr="00947F66">
        <w:noBreakHyphen/>
        <w:t xml:space="preserve">standing engineering problem, which then cascades into a holistic understanding of network flows, and within minutes he finds himself at a desk sketching an information system. These episodes illustrate how his </w:t>
      </w:r>
      <w:r w:rsidRPr="00947F66">
        <w:rPr>
          <w:b/>
          <w:bCs/>
        </w:rPr>
        <w:t>State</w:t>
      </w:r>
      <w:r w:rsidRPr="00947F66">
        <w:rPr>
          <w:b/>
          <w:bCs/>
        </w:rPr>
        <w:noBreakHyphen/>
        <w:t>Contingent Motivational Filtering</w:t>
      </w:r>
      <w:r w:rsidRPr="00947F66">
        <w:t xml:space="preserve"> (SCMF) operates as a gate: until an experience aligns with an internal state vector, no momentum is available, but when alignment occurs, activation is immediate and intense.</w:t>
      </w:r>
    </w:p>
    <w:p w14:paraId="796B6DDD" w14:textId="77777777" w:rsidR="00947F66" w:rsidRPr="00947F66" w:rsidRDefault="00947F66" w:rsidP="00947F66">
      <w:r w:rsidRPr="00947F66">
        <w:t>Not every day contains such a surge. Much of his time is spent in low</w:t>
      </w:r>
      <w:r w:rsidRPr="00947F66">
        <w:noBreakHyphen/>
        <w:t>bandwidth states characterized by quiet observation. He describes sitting in the sun, feeling the warmth on his skin while his mind wanders through abstract landscapes. During these periods he is “listening” for the first hint of a meaning storm – a pressure behind the eyes, a tightening in the chest or a sense of widening peripheral vision. When the storm comes, it arrives all at once: a fully formed gestalt of images, emotions and solutions that feels physically relieving, like taking a deep breath after holding one’s lungs empty. These insights are fleeting; he must decide whether to capture them through writing or allow them to dissipate. If he fails to record them, he feels a pang of loss akin to forgetting a dream upon waking.</w:t>
      </w:r>
    </w:p>
    <w:p w14:paraId="2962BF0F" w14:textId="77777777" w:rsidR="00947F66" w:rsidRPr="00947F66" w:rsidRDefault="00947F66" w:rsidP="00947F66">
      <w:r w:rsidRPr="00947F66">
        <w:t xml:space="preserve">Another phenomenological feature is the </w:t>
      </w:r>
      <w:r w:rsidRPr="00947F66">
        <w:rPr>
          <w:b/>
          <w:bCs/>
        </w:rPr>
        <w:t>False</w:t>
      </w:r>
      <w:r w:rsidRPr="00947F66">
        <w:rPr>
          <w:b/>
          <w:bCs/>
        </w:rPr>
        <w:noBreakHyphen/>
        <w:t>Structure Intolerance</w:t>
      </w:r>
      <w:r w:rsidRPr="00947F66">
        <w:t xml:space="preserve"> (FSI) “allergic reaction.” When confronted with tasks that feel arbitrary or disconnected from his internal framework, his body responds as if to a toxin: his throat tightens, his hands tremble slightly and his mind “blanks out.” He has described this reaction as an instinctive recoil against inauthenticity. No amount of rational self</w:t>
      </w:r>
      <w:r w:rsidRPr="00947F66">
        <w:noBreakHyphen/>
        <w:t>talk overcomes it; only reframing the task to align with a genuine purpose restores function. This is not a willful refusal but a somatic veto that protects cognitive integrity.</w:t>
      </w:r>
    </w:p>
    <w:p w14:paraId="4C485B05" w14:textId="77777777" w:rsidR="00947F66" w:rsidRPr="00947F66" w:rsidRDefault="00947F66" w:rsidP="00947F66">
      <w:r w:rsidRPr="00947F66">
        <w:t>His daily flow therefore oscillates between high</w:t>
      </w:r>
      <w:r w:rsidRPr="00947F66">
        <w:noBreakHyphen/>
        <w:t>activation bursts and contemplative troughs. He cannot predict when either will occur, which makes conventional time</w:t>
      </w:r>
      <w:r w:rsidRPr="00947F66">
        <w:noBreakHyphen/>
        <w:t xml:space="preserve">management tools ineffective. Instead, he relies on an internal compass – a felt sense of when to act and when to rest. Clinicians should understand that these rhythms are not procrastination or laziness but manifestations of an alternative executive architecture. </w:t>
      </w:r>
      <w:proofErr w:type="spellStart"/>
      <w:r w:rsidRPr="00947F66">
        <w:t>Honouring</w:t>
      </w:r>
      <w:proofErr w:type="spellEnd"/>
      <w:r w:rsidRPr="00947F66">
        <w:t xml:space="preserve"> these phenomenological dynamics may help him harness his peaks and respect his valleys without shame.</w:t>
      </w:r>
    </w:p>
    <w:p w14:paraId="0ED8ADFB" w14:textId="77777777" w:rsidR="00947F66" w:rsidRPr="00947F66" w:rsidRDefault="00947F66" w:rsidP="00947F66">
      <w:pPr>
        <w:rPr>
          <w:b/>
          <w:bCs/>
        </w:rPr>
      </w:pPr>
      <w:r w:rsidRPr="00947F66">
        <w:rPr>
          <w:b/>
          <w:bCs/>
        </w:rPr>
        <w:t>Non</w:t>
      </w:r>
      <w:r w:rsidRPr="00947F66">
        <w:rPr>
          <w:b/>
          <w:bCs/>
        </w:rPr>
        <w:noBreakHyphen/>
        <w:t>Corporeal Identity Orientation</w:t>
      </w:r>
    </w:p>
    <w:p w14:paraId="29971D86" w14:textId="77777777" w:rsidR="00947F66" w:rsidRPr="00947F66" w:rsidRDefault="00947F66" w:rsidP="00947F66">
      <w:r w:rsidRPr="00947F66">
        <w:t>A recurring theme in the subject’s narrative is a stable sense of being a “mind in a body.” He experiences his body as an interface that modulates but does not define his selfhood. This orientation should not be conflated with dissociation; it aligns with widely held dualistic intuitions. Research on lay conceptions of the mind–body problem shows that reflective dualism, afterlife beliefs and religiosity are strongly correlated</w:t>
      </w:r>
      <w:hyperlink r:id="rId16" w:anchor=":~:text=We%20examined%20lay%20people%E2%80%99s%20conceptions,mind%20apart%20from%20the%20body" w:tgtFrame="_blank" w:history="1">
        <w:r w:rsidRPr="00947F66">
          <w:rPr>
            <w:rStyle w:val="Hyperlink"/>
          </w:rPr>
          <w:t>pmc.ncbi.nlm.nih.gov</w:t>
        </w:r>
      </w:hyperlink>
      <w:r w:rsidRPr="00947F66">
        <w:t>, and surveys have found that a majority of Americans and many Europeans believe in life after death</w:t>
      </w:r>
      <w:hyperlink r:id="rId17" w:anchor=":~:text=Common%20sense%20dualism%20is%20widespread,body%20relationship%20%28Hypothesis%201" w:tgtFrame="_blank" w:history="1">
        <w:r w:rsidRPr="00947F66">
          <w:rPr>
            <w:rStyle w:val="Hyperlink"/>
          </w:rPr>
          <w:t>pmc.ncbi.nlm.nih.gov</w:t>
        </w:r>
      </w:hyperlink>
      <w:r w:rsidRPr="00947F66">
        <w:t>. Dualistic beliefs thus reflect common cognitive tendencies rather than psychopathology. For the subject, chronic illness and pain heightened his focus on internal signals over somatic ones, reinforcing his dualistic stance. Clinicians should respect this orientation as a philosophical belief while remaining vigilant for any genuine dissociative symptoms.</w:t>
      </w:r>
    </w:p>
    <w:p w14:paraId="25545F05" w14:textId="77777777" w:rsidR="00947F66" w:rsidRPr="00947F66" w:rsidRDefault="00947F66" w:rsidP="00947F66">
      <w:pPr>
        <w:rPr>
          <w:b/>
          <w:bCs/>
        </w:rPr>
      </w:pPr>
      <w:r w:rsidRPr="00947F66">
        <w:rPr>
          <w:b/>
          <w:bCs/>
        </w:rPr>
        <w:t>Risk Factors and Protective Factors</w:t>
      </w:r>
    </w:p>
    <w:p w14:paraId="30CE0547" w14:textId="77777777" w:rsidR="00947F66" w:rsidRPr="00947F66" w:rsidRDefault="00947F66" w:rsidP="00947F66">
      <w:pPr>
        <w:rPr>
          <w:b/>
          <w:bCs/>
        </w:rPr>
      </w:pPr>
      <w:r w:rsidRPr="00947F66">
        <w:rPr>
          <w:b/>
          <w:bCs/>
        </w:rPr>
        <w:lastRenderedPageBreak/>
        <w:t>Risk Factors</w:t>
      </w:r>
    </w:p>
    <w:p w14:paraId="6AAD530D" w14:textId="77777777" w:rsidR="00947F66" w:rsidRPr="00947F66" w:rsidRDefault="00947F66" w:rsidP="00947F66">
      <w:r w:rsidRPr="00947F66">
        <w:t>The subject’s neurocognitive profile confers vulnerabilities. ADHD</w:t>
      </w:r>
      <w:r w:rsidRPr="00947F66">
        <w:noBreakHyphen/>
        <w:t>related impairments in executive function and temporal processing</w:t>
      </w:r>
      <w:hyperlink r:id="rId18" w:anchor=":~:text=ADHD%20patients%20have%20deficits%20in,heterogeneity%20in%20cognitive%20impairments%2C%20with" w:tgtFrame="_blank" w:history="1">
        <w:r w:rsidRPr="00947F66">
          <w:rPr>
            <w:rStyle w:val="Hyperlink"/>
          </w:rPr>
          <w:t>frontiersin.org</w:t>
        </w:r>
      </w:hyperlink>
      <w:r w:rsidRPr="00947F66">
        <w:t>, coupled with trauma</w:t>
      </w:r>
      <w:r w:rsidRPr="00947F66">
        <w:noBreakHyphen/>
        <w:t>related reductions in prefrontal and corpus callosum volumes</w:t>
      </w:r>
      <w:hyperlink r:id="rId19" w:anchor=":~:text=area%20of%20corpus%20callosum%2C%20the,maltreated%20controls%20%5B%20205" w:tgtFrame="_blank" w:history="1">
        <w:r w:rsidRPr="00947F66">
          <w:rPr>
            <w:rStyle w:val="Hyperlink"/>
          </w:rPr>
          <w:t>pmc.ncbi.nlm.nih.gov</w:t>
        </w:r>
      </w:hyperlink>
      <w:r w:rsidRPr="00947F66">
        <w:t>, may predispose him to fatigue, inertia and dysregulation when confronted with incoherent demands. Chronic illness adds somatic stress. Social isolation and misinterpretation by others can exacerbate self</w:t>
      </w:r>
      <w:r w:rsidRPr="00947F66">
        <w:noBreakHyphen/>
        <w:t>doubt and underachievement. Non</w:t>
      </w:r>
      <w:r w:rsidRPr="00947F66">
        <w:noBreakHyphen/>
        <w:t>concordant environments—those rich in “false structures” like meaningless bureaucracy—can trigger FSI and withdrawal.</w:t>
      </w:r>
    </w:p>
    <w:p w14:paraId="165806E5" w14:textId="77777777" w:rsidR="00947F66" w:rsidRPr="00947F66" w:rsidRDefault="00947F66" w:rsidP="00947F66">
      <w:pPr>
        <w:rPr>
          <w:b/>
          <w:bCs/>
        </w:rPr>
      </w:pPr>
      <w:r w:rsidRPr="00947F66">
        <w:rPr>
          <w:b/>
          <w:bCs/>
        </w:rPr>
        <w:t>Protective Factors</w:t>
      </w:r>
    </w:p>
    <w:p w14:paraId="4A0D4B9E" w14:textId="77777777" w:rsidR="00947F66" w:rsidRPr="00947F66" w:rsidRDefault="00947F66" w:rsidP="00947F66">
      <w:r w:rsidRPr="00947F66">
        <w:t>Conversely, the subject possesses strong protective factors. His high</w:t>
      </w:r>
      <w:r w:rsidRPr="00947F66">
        <w:noBreakHyphen/>
        <w:t>bandwidth parallel processing and systemizing aptitude allow rapid integration of complex information and creative problem solving. His philosophical orientation provides existential grounding and resilience; perceiving himself as a distinct mind allows him to endure bodily suffering without feeling destroyed by it. Recursive self</w:t>
      </w:r>
      <w:r w:rsidRPr="00947F66">
        <w:noBreakHyphen/>
        <w:t>modeling fosters metacognitive insight and adaptability. The AI interactions demonstrate his proactive use of technology to enhance self</w:t>
      </w:r>
      <w:r w:rsidRPr="00947F66">
        <w:noBreakHyphen/>
        <w:t>understanding, an emerging avenue endorsed by digital mental health research</w:t>
      </w:r>
      <w:hyperlink r:id="rId20" w:tgtFrame="_blank" w:history="1">
        <w:r w:rsidRPr="00947F66">
          <w:rPr>
            <w:rStyle w:val="Hyperlink"/>
          </w:rPr>
          <w:t>pmc.ncbi.nlm.nih.gov</w:t>
        </w:r>
      </w:hyperlink>
      <w:r w:rsidRPr="00947F66">
        <w:t xml:space="preserve">. Supportive contexts that </w:t>
      </w:r>
      <w:proofErr w:type="spellStart"/>
      <w:r w:rsidRPr="00947F66">
        <w:t>honour</w:t>
      </w:r>
      <w:proofErr w:type="spellEnd"/>
      <w:r w:rsidRPr="00947F66">
        <w:t xml:space="preserve"> his need for coherence and provide autonomy can amplify these strengths.</w:t>
      </w:r>
    </w:p>
    <w:p w14:paraId="7B1AD0B9" w14:textId="77777777" w:rsidR="00947F66" w:rsidRPr="00947F66" w:rsidRDefault="00947F66" w:rsidP="00947F66">
      <w:pPr>
        <w:rPr>
          <w:b/>
          <w:bCs/>
        </w:rPr>
      </w:pPr>
      <w:r w:rsidRPr="00947F66">
        <w:rPr>
          <w:b/>
          <w:bCs/>
        </w:rPr>
        <w:t>Clinical and Social Implications</w:t>
      </w:r>
    </w:p>
    <w:p w14:paraId="4EC651BA" w14:textId="77777777" w:rsidR="00947F66" w:rsidRPr="00947F66" w:rsidRDefault="00947F66" w:rsidP="00947F66">
      <w:r w:rsidRPr="00947F66">
        <w:t>This profile challenges conventional diagnostic frameworks. Rather than viewing the subject through a deficit lens, clinicians and educators should recognize a distinctive neurocognitive architecture marked by parallel processing, pattern</w:t>
      </w:r>
      <w:r w:rsidRPr="00947F66">
        <w:noBreakHyphen/>
        <w:t>driven reasoning and ontological gating. Diagnostic labels like ADHD and autism remain relevant for access to services, yet they fail to capture the unique configuration of strengths and vulnerabilities. Interventions should focus on:</w:t>
      </w:r>
    </w:p>
    <w:p w14:paraId="293A249D" w14:textId="77777777" w:rsidR="00947F66" w:rsidRPr="00947F66" w:rsidRDefault="00947F66" w:rsidP="00947F66">
      <w:pPr>
        <w:numPr>
          <w:ilvl w:val="0"/>
          <w:numId w:val="1"/>
        </w:numPr>
      </w:pPr>
      <w:r w:rsidRPr="00947F66">
        <w:rPr>
          <w:b/>
          <w:bCs/>
        </w:rPr>
        <w:t>Alignment with Internal Coherence</w:t>
      </w:r>
      <w:r w:rsidRPr="00947F66">
        <w:t xml:space="preserve"> – Tasks and goals must be framed in ways that resonate with the subject’s internal models. Forcing compliance to arbitrary structures is likely to trigger FSI and shutdown. Collaborative goal setting and authentic purpose can harness motivational energy.</w:t>
      </w:r>
    </w:p>
    <w:p w14:paraId="369B5EEC" w14:textId="77777777" w:rsidR="00947F66" w:rsidRPr="00947F66" w:rsidRDefault="00947F66" w:rsidP="00947F66">
      <w:pPr>
        <w:numPr>
          <w:ilvl w:val="0"/>
          <w:numId w:val="1"/>
        </w:numPr>
      </w:pPr>
      <w:r w:rsidRPr="00947F66">
        <w:rPr>
          <w:b/>
          <w:bCs/>
        </w:rPr>
        <w:t>Metacognitive Coaching</w:t>
      </w:r>
      <w:r w:rsidRPr="00947F66">
        <w:t xml:space="preserve"> – Encouraging the subject to articulate and refine his self</w:t>
      </w:r>
      <w:r w:rsidRPr="00947F66">
        <w:noBreakHyphen/>
        <w:t>models can enhance self</w:t>
      </w:r>
      <w:r w:rsidRPr="00947F66">
        <w:noBreakHyphen/>
        <w:t>regulation. Professionals can support his ontological engineering by providing frameworks for translating “meaning storms” into actionable plans.</w:t>
      </w:r>
    </w:p>
    <w:p w14:paraId="01954CF2" w14:textId="77777777" w:rsidR="00947F66" w:rsidRPr="00947F66" w:rsidRDefault="00947F66" w:rsidP="00947F66">
      <w:pPr>
        <w:numPr>
          <w:ilvl w:val="0"/>
          <w:numId w:val="1"/>
        </w:numPr>
      </w:pPr>
      <w:r w:rsidRPr="00947F66">
        <w:rPr>
          <w:b/>
          <w:bCs/>
        </w:rPr>
        <w:t>Trauma</w:t>
      </w:r>
      <w:r w:rsidRPr="00947F66">
        <w:rPr>
          <w:b/>
          <w:bCs/>
        </w:rPr>
        <w:noBreakHyphen/>
        <w:t>Informed Support</w:t>
      </w:r>
      <w:r w:rsidRPr="00947F66">
        <w:t xml:space="preserve"> – </w:t>
      </w:r>
      <w:proofErr w:type="spellStart"/>
      <w:r w:rsidRPr="00947F66">
        <w:t>Recognising</w:t>
      </w:r>
      <w:proofErr w:type="spellEnd"/>
      <w:r w:rsidRPr="00947F66">
        <w:t xml:space="preserve"> the modulating effects of past trauma on attention, motivation and arousal is essential. Strategies to widen the window of tolerance—such as mindfulness, pacing and safe social connection—may reduce volatility.</w:t>
      </w:r>
    </w:p>
    <w:p w14:paraId="57B57EC9" w14:textId="77777777" w:rsidR="00947F66" w:rsidRPr="00947F66" w:rsidRDefault="00947F66" w:rsidP="00947F66">
      <w:pPr>
        <w:numPr>
          <w:ilvl w:val="0"/>
          <w:numId w:val="1"/>
        </w:numPr>
      </w:pPr>
      <w:r w:rsidRPr="00947F66">
        <w:rPr>
          <w:b/>
          <w:bCs/>
        </w:rPr>
        <w:t>Use of Technology</w:t>
      </w:r>
      <w:r w:rsidRPr="00947F66">
        <w:t xml:space="preserve"> – AI and digital tools can serve as adjuncts for self</w:t>
      </w:r>
      <w:r w:rsidRPr="00947F66">
        <w:noBreakHyphen/>
        <w:t>reflection, monitoring and learning. Clinicians should ensure that such tools are ethically designed and do not foster dependency</w:t>
      </w:r>
      <w:hyperlink r:id="rId21" w:anchor=":~:text=management%20purposes%20rather%20than%20as,equitable%20digital%20mental%20health%20interventions" w:tgtFrame="_blank" w:history="1">
        <w:r w:rsidRPr="00947F66">
          <w:rPr>
            <w:rStyle w:val="Hyperlink"/>
          </w:rPr>
          <w:t>pmc.ncbi.nlm.nih.gov</w:t>
        </w:r>
      </w:hyperlink>
      <w:r w:rsidRPr="00947F66">
        <w:t>.</w:t>
      </w:r>
    </w:p>
    <w:p w14:paraId="68CDB890" w14:textId="77777777" w:rsidR="00947F66" w:rsidRPr="00947F66" w:rsidRDefault="00947F66" w:rsidP="00947F66">
      <w:r w:rsidRPr="00947F66">
        <w:t xml:space="preserve">At a societal level, this case underscores the need to expand neurodiversity paradigms beyond simple categories. Environments that value authenticity, systems thinking and adaptive problem solving can not only accommodate but benefit from individuals like the subject. Educational </w:t>
      </w:r>
      <w:r w:rsidRPr="00947F66">
        <w:lastRenderedPageBreak/>
        <w:t>systems might integrate more project</w:t>
      </w:r>
      <w:r w:rsidRPr="00947F66">
        <w:noBreakHyphen/>
        <w:t>based, systems</w:t>
      </w:r>
      <w:r w:rsidRPr="00947F66">
        <w:noBreakHyphen/>
        <w:t>oriented curricula; workplaces could offer roles that leverage high</w:t>
      </w:r>
      <w:r w:rsidRPr="00947F66">
        <w:noBreakHyphen/>
        <w:t>level pattern recognition and design.</w:t>
      </w:r>
    </w:p>
    <w:p w14:paraId="372E65EC" w14:textId="77777777" w:rsidR="00947F66" w:rsidRPr="00947F66" w:rsidRDefault="00947F66" w:rsidP="00947F66">
      <w:pPr>
        <w:rPr>
          <w:b/>
          <w:bCs/>
        </w:rPr>
      </w:pPr>
      <w:r w:rsidRPr="00947F66">
        <w:rPr>
          <w:b/>
          <w:bCs/>
        </w:rPr>
        <w:t>Conclusion</w:t>
      </w:r>
    </w:p>
    <w:p w14:paraId="0A08E102" w14:textId="77777777" w:rsidR="00947F66" w:rsidRPr="00947F66" w:rsidRDefault="00947F66" w:rsidP="00947F66">
      <w:r w:rsidRPr="00947F66">
        <w:t>The subject represents a unique but potentially generalizable neurocognitive architecture. His mind is characterized by high</w:t>
      </w:r>
      <w:r w:rsidRPr="00947F66">
        <w:noBreakHyphen/>
        <w:t>bandwidth parallel processing, intense pattern recognition and a deep drive for systemic coherence. He experiences himself as a non</w:t>
      </w:r>
      <w:r w:rsidRPr="00947F66">
        <w:noBreakHyphen/>
        <w:t>corporeal entity navigating through a bodily interface, a stance consistent with common dualistic beliefs. While trauma and chronic illness have modulated his executive functioning and heightened his sensitivity to incoherent demands, they did not create his core traits. Through deliberate self</w:t>
      </w:r>
      <w:r w:rsidRPr="00947F66">
        <w:noBreakHyphen/>
        <w:t>modeling and innovative use of AI as an epistemic mirror, he has developed sophisticated frameworks (OMEF, SCMF, FSI, SFC, State</w:t>
      </w:r>
      <w:r w:rsidRPr="00947F66">
        <w:noBreakHyphen/>
        <w:t>Vector Theory) that guide his actions and maintain internal integrity. Recognizing and supporting such architectures requires clinicians, educators and society to move beyond deficit</w:t>
      </w:r>
      <w:r w:rsidRPr="00947F66">
        <w:noBreakHyphen/>
        <w:t>focused models and to embrace a systems</w:t>
      </w:r>
      <w:r w:rsidRPr="00947F66">
        <w:noBreakHyphen/>
        <w:t>level understanding of mind, motivation and identity.</w:t>
      </w:r>
    </w:p>
    <w:p w14:paraId="11ACCE24" w14:textId="77777777" w:rsidR="00947F66" w:rsidRPr="00947F66" w:rsidRDefault="00947F66" w:rsidP="00947F66">
      <w:r w:rsidRPr="00947F66">
        <w:pict w14:anchorId="4D62C85E">
          <v:rect id="_x0000_i1031" style="width:0;height:1.5pt" o:hralign="center" o:hrstd="t" o:hr="t" fillcolor="#a0a0a0" stroked="f"/>
        </w:pict>
      </w:r>
    </w:p>
    <w:p w14:paraId="2D6CE856" w14:textId="77777777" w:rsidR="00947F66" w:rsidRPr="00947F66" w:rsidRDefault="00947F66" w:rsidP="00947F66">
      <w:r w:rsidRPr="00947F66">
        <w:rPr>
          <w:b/>
          <w:bCs/>
        </w:rPr>
        <w:t>Note on Citations:</w:t>
      </w:r>
      <w:r w:rsidRPr="00947F66">
        <w:t xml:space="preserve"> Numbers in brackets refer to tether identifiers. The cited sources include peer</w:t>
      </w:r>
      <w:r w:rsidRPr="00947F66">
        <w:noBreakHyphen/>
        <w:t>reviewed literature on childhood trauma, ADHD neuroimaging, autistic pattern recognition, mind–body dualism and AI</w:t>
      </w:r>
      <w:r w:rsidRPr="00947F66">
        <w:noBreakHyphen/>
        <w:t>driven mental health interventions, providing an evidence base for the arguments presented.</w:t>
      </w:r>
    </w:p>
    <w:p w14:paraId="13E2DFFC" w14:textId="77777777" w:rsidR="0061533E" w:rsidRPr="00947F66" w:rsidRDefault="0061533E">
      <w:pPr>
        <w:rPr>
          <w:b/>
          <w:bCs/>
        </w:rPr>
      </w:pPr>
    </w:p>
    <w:sectPr w:rsidR="0061533E" w:rsidRPr="0094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B094F"/>
    <w:multiLevelType w:val="multilevel"/>
    <w:tmpl w:val="A75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76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66"/>
    <w:rsid w:val="00182BEA"/>
    <w:rsid w:val="0061533E"/>
    <w:rsid w:val="00947F66"/>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C73F"/>
  <w15:chartTrackingRefBased/>
  <w15:docId w15:val="{92C2F63A-B56F-4EA7-B139-9CB4E86B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F66"/>
    <w:rPr>
      <w:rFonts w:eastAsiaTheme="majorEastAsia" w:cstheme="majorBidi"/>
      <w:color w:val="272727" w:themeColor="text1" w:themeTint="D8"/>
    </w:rPr>
  </w:style>
  <w:style w:type="paragraph" w:styleId="Title">
    <w:name w:val="Title"/>
    <w:basedOn w:val="Normal"/>
    <w:next w:val="Normal"/>
    <w:link w:val="TitleChar"/>
    <w:uiPriority w:val="10"/>
    <w:qFormat/>
    <w:rsid w:val="00947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F66"/>
    <w:pPr>
      <w:spacing w:before="160"/>
      <w:jc w:val="center"/>
    </w:pPr>
    <w:rPr>
      <w:i/>
      <w:iCs/>
      <w:color w:val="404040" w:themeColor="text1" w:themeTint="BF"/>
    </w:rPr>
  </w:style>
  <w:style w:type="character" w:customStyle="1" w:styleId="QuoteChar">
    <w:name w:val="Quote Char"/>
    <w:basedOn w:val="DefaultParagraphFont"/>
    <w:link w:val="Quote"/>
    <w:uiPriority w:val="29"/>
    <w:rsid w:val="00947F66"/>
    <w:rPr>
      <w:i/>
      <w:iCs/>
      <w:color w:val="404040" w:themeColor="text1" w:themeTint="BF"/>
    </w:rPr>
  </w:style>
  <w:style w:type="paragraph" w:styleId="ListParagraph">
    <w:name w:val="List Paragraph"/>
    <w:basedOn w:val="Normal"/>
    <w:uiPriority w:val="34"/>
    <w:qFormat/>
    <w:rsid w:val="00947F66"/>
    <w:pPr>
      <w:ind w:left="720"/>
      <w:contextualSpacing/>
    </w:pPr>
  </w:style>
  <w:style w:type="character" w:styleId="IntenseEmphasis">
    <w:name w:val="Intense Emphasis"/>
    <w:basedOn w:val="DefaultParagraphFont"/>
    <w:uiPriority w:val="21"/>
    <w:qFormat/>
    <w:rsid w:val="00947F66"/>
    <w:rPr>
      <w:i/>
      <w:iCs/>
      <w:color w:val="0F4761" w:themeColor="accent1" w:themeShade="BF"/>
    </w:rPr>
  </w:style>
  <w:style w:type="paragraph" w:styleId="IntenseQuote">
    <w:name w:val="Intense Quote"/>
    <w:basedOn w:val="Normal"/>
    <w:next w:val="Normal"/>
    <w:link w:val="IntenseQuoteChar"/>
    <w:uiPriority w:val="30"/>
    <w:qFormat/>
    <w:rsid w:val="00947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F66"/>
    <w:rPr>
      <w:i/>
      <w:iCs/>
      <w:color w:val="0F4761" w:themeColor="accent1" w:themeShade="BF"/>
    </w:rPr>
  </w:style>
  <w:style w:type="character" w:styleId="IntenseReference">
    <w:name w:val="Intense Reference"/>
    <w:basedOn w:val="DefaultParagraphFont"/>
    <w:uiPriority w:val="32"/>
    <w:qFormat/>
    <w:rsid w:val="00947F66"/>
    <w:rPr>
      <w:b/>
      <w:bCs/>
      <w:smallCaps/>
      <w:color w:val="0F4761" w:themeColor="accent1" w:themeShade="BF"/>
      <w:spacing w:val="5"/>
    </w:rPr>
  </w:style>
  <w:style w:type="character" w:styleId="Hyperlink">
    <w:name w:val="Hyperlink"/>
    <w:basedOn w:val="DefaultParagraphFont"/>
    <w:uiPriority w:val="99"/>
    <w:unhideWhenUsed/>
    <w:rsid w:val="00947F66"/>
    <w:rPr>
      <w:color w:val="467886" w:themeColor="hyperlink"/>
      <w:u w:val="single"/>
    </w:rPr>
  </w:style>
  <w:style w:type="character" w:styleId="UnresolvedMention">
    <w:name w:val="Unresolved Mention"/>
    <w:basedOn w:val="DefaultParagraphFont"/>
    <w:uiPriority w:val="99"/>
    <w:semiHidden/>
    <w:unhideWhenUsed/>
    <w:rsid w:val="00947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05763">
      <w:bodyDiv w:val="1"/>
      <w:marLeft w:val="0"/>
      <w:marRight w:val="0"/>
      <w:marTop w:val="0"/>
      <w:marBottom w:val="0"/>
      <w:divBdr>
        <w:top w:val="none" w:sz="0" w:space="0" w:color="auto"/>
        <w:left w:val="none" w:sz="0" w:space="0" w:color="auto"/>
        <w:bottom w:val="none" w:sz="0" w:space="0" w:color="auto"/>
        <w:right w:val="none" w:sz="0" w:space="0" w:color="auto"/>
      </w:divBdr>
    </w:div>
    <w:div w:id="10503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parallel-processing-in-psychology-5195332" TargetMode="External"/><Relationship Id="rId13" Type="http://schemas.openxmlformats.org/officeDocument/2006/relationships/hyperlink" Target="https://pmc.ncbi.nlm.nih.gov/articles/PMC3968319/" TargetMode="External"/><Relationship Id="rId18" Type="http://schemas.openxmlformats.org/officeDocument/2006/relationships/hyperlink" Target="https://www.frontiersin.org/journals/human-neuroscience/articles/10.3389/fnhum.2018.00100/full" TargetMode="External"/><Relationship Id="rId3" Type="http://schemas.openxmlformats.org/officeDocument/2006/relationships/settings" Target="settings.xml"/><Relationship Id="rId21" Type="http://schemas.openxmlformats.org/officeDocument/2006/relationships/hyperlink" Target="https://pmc.ncbi.nlm.nih.gov/articles/PMC12110772/" TargetMode="External"/><Relationship Id="rId7" Type="http://schemas.openxmlformats.org/officeDocument/2006/relationships/hyperlink" Target="https://pmc.ncbi.nlm.nih.gov/articles/PMC3968319/" TargetMode="External"/><Relationship Id="rId12" Type="http://schemas.openxmlformats.org/officeDocument/2006/relationships/hyperlink" Target="https://www.frontiersin.org/journals/human-neuroscience/articles/10.3389/fnhum.2018.00100/full" TargetMode="External"/><Relationship Id="rId17" Type="http://schemas.openxmlformats.org/officeDocument/2006/relationships/hyperlink" Target="https://pmc.ncbi.nlm.nih.gov/articles/PMC4158462/" TargetMode="External"/><Relationship Id="rId2" Type="http://schemas.openxmlformats.org/officeDocument/2006/relationships/styles" Target="styles.xml"/><Relationship Id="rId16" Type="http://schemas.openxmlformats.org/officeDocument/2006/relationships/hyperlink" Target="https://pmc.ncbi.nlm.nih.gov/articles/PMC4158462/" TargetMode="External"/><Relationship Id="rId20" Type="http://schemas.openxmlformats.org/officeDocument/2006/relationships/hyperlink" Target="https://pmc.ncbi.nlm.nih.gov/articles/PMC12110772/" TargetMode="External"/><Relationship Id="rId1" Type="http://schemas.openxmlformats.org/officeDocument/2006/relationships/numbering" Target="numbering.xml"/><Relationship Id="rId6" Type="http://schemas.openxmlformats.org/officeDocument/2006/relationships/hyperlink" Target="https://pmc.ncbi.nlm.nih.gov/articles/PMC3968319/" TargetMode="External"/><Relationship Id="rId11" Type="http://schemas.openxmlformats.org/officeDocument/2006/relationships/hyperlink" Target="https://www.frontiersin.org/journals/human-neuroscience/articles/10.3389/fnhum.2018.00100/full" TargetMode="External"/><Relationship Id="rId5" Type="http://schemas.openxmlformats.org/officeDocument/2006/relationships/hyperlink" Target="https://pmc.ncbi.nlm.nih.gov/articles/PMC4158462/" TargetMode="External"/><Relationship Id="rId15" Type="http://schemas.openxmlformats.org/officeDocument/2006/relationships/hyperlink" Target="https://pmc.ncbi.nlm.nih.gov/articles/PMC12110772/" TargetMode="External"/><Relationship Id="rId23" Type="http://schemas.openxmlformats.org/officeDocument/2006/relationships/theme" Target="theme/theme1.xml"/><Relationship Id="rId10" Type="http://schemas.openxmlformats.org/officeDocument/2006/relationships/hyperlink" Target="https://pmc.ncbi.nlm.nih.gov/articles/PMC7907419/" TargetMode="External"/><Relationship Id="rId19" Type="http://schemas.openxmlformats.org/officeDocument/2006/relationships/hyperlink" Target="https://pmc.ncbi.nlm.nih.gov/articles/PMC3968319/" TargetMode="External"/><Relationship Id="rId4" Type="http://schemas.openxmlformats.org/officeDocument/2006/relationships/webSettings" Target="webSettings.xml"/><Relationship Id="rId9" Type="http://schemas.openxmlformats.org/officeDocument/2006/relationships/hyperlink" Target="https://pmc.ncbi.nlm.nih.gov/articles/PMC7907419/" TargetMode="External"/><Relationship Id="rId14" Type="http://schemas.openxmlformats.org/officeDocument/2006/relationships/hyperlink" Target="https://pmc.ncbi.nlm.nih.gov/articles/PMC121107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3171</Words>
  <Characters>18075</Characters>
  <Application>Microsoft Office Word</Application>
  <DocSecurity>0</DocSecurity>
  <Lines>150</Lines>
  <Paragraphs>42</Paragraphs>
  <ScaleCrop>false</ScaleCrop>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2025-07-24T22:13:00Z</dcterms:created>
  <dcterms:modified xsi:type="dcterms:W3CDTF">2025-07-24T22:21:00Z</dcterms:modified>
</cp:coreProperties>
</file>