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429a4ef85185ae530c4440fca0cddb0358654ae"/>
    <w:p>
      <w:pPr>
        <w:pStyle w:val="Heading1"/>
      </w:pPr>
      <w:r>
        <w:t xml:space="preserve">Supplement to “Transient Expertise and the Collapse of Credentialed Cognition”</w:t>
      </w:r>
    </w:p>
    <w:p>
      <w:pPr>
        <w:pStyle w:val="FirstParagraph"/>
      </w:pPr>
      <w:r>
        <w:t xml:space="preserve">This document augments the foundational whitepaper on Transient Expertise with additional theoretical structures, detailed workflow descriptions, comparative analyses, platform specifications, cognitive trait profiling and forward‑looking forecasts. Each section is self‑contained and can be referenced independently in future syntheses. Citations are provided to anchor key concepts in the source archive, such as the meaning‑driven constructs (OMEF, FSI, SCMF) and recursive modeling protocol.</w:t>
      </w:r>
    </w:p>
    <w:p>
      <w:r>
        <w:pict>
          <v:rect style="width:0;height:1.5pt" o:hralign="center" o:hrstd="t" o:hr="t"/>
        </w:pict>
      </w:r>
    </w:p>
    <w:bookmarkStart w:id="24" w:name="workflow-schematic-and-case-structure"/>
    <w:p>
      <w:pPr>
        <w:pStyle w:val="Heading2"/>
      </w:pPr>
      <w:r>
        <w:t xml:space="preserve">1 Workflow Schematic and Case Structure</w:t>
      </w:r>
    </w:p>
    <w:bookmarkStart w:id="21" w:name="X6037d0f05232958baf62a8b4797cdda94071dc6"/>
    <w:p>
      <w:pPr>
        <w:pStyle w:val="Heading3"/>
      </w:pPr>
      <w:r>
        <w:t xml:space="preserve">1.1 Core loop of transient expertise (schematic description)</w:t>
      </w:r>
    </w:p>
    <w:p>
      <w:pPr>
        <w:pStyle w:val="FirstParagraph"/>
      </w:pPr>
      <w:r>
        <w:t xml:space="preserve">Transient expertise unfolds as a cyclical process in which a problem or question enters the individual’s cognitive field, triggers resonance, and then initiates an epistemic loop. The following schematic, expressed verbally, conveys this core loop:</w:t>
      </w:r>
    </w:p>
    <w:p>
      <w:pPr>
        <w:numPr>
          <w:ilvl w:val="0"/>
          <w:numId w:val="1001"/>
        </w:numPr>
      </w:pPr>
      <w:r>
        <w:rPr>
          <w:b/>
          <w:bCs/>
        </w:rPr>
        <w:t xml:space="preserve">Problem encounter / resonance detection.</w:t>
      </w:r>
      <w:r>
        <w:t xml:space="preserve"> </w:t>
      </w:r>
      <w:r>
        <w:t xml:space="preserve">The process begins with the</w:t>
      </w:r>
      <w:r>
        <w:t xml:space="preserve"> </w:t>
      </w:r>
      <w:r>
        <w:rPr>
          <w:b/>
          <w:bCs/>
        </w:rPr>
        <w:t xml:space="preserve">presentation of a problem</w:t>
      </w:r>
      <w:r>
        <w:t xml:space="preserve">—often ambiguous or cross‑disciplinary. The individual performs an internal resonance check: does this question align with their internal values, curiosity and ontological coherence? If alignment is insufficient, the loop terminates or is deferred. If alignment is high, the problem enters the transient expert’s active workspace.</w:t>
      </w:r>
    </w:p>
    <w:p>
      <w:pPr>
        <w:numPr>
          <w:ilvl w:val="0"/>
          <w:numId w:val="1001"/>
        </w:numPr>
      </w:pPr>
      <w:r>
        <w:rPr>
          <w:b/>
          <w:bCs/>
        </w:rPr>
        <w:t xml:space="preserve">State priming and resource gathering.</w:t>
      </w:r>
      <w:r>
        <w:t xml:space="preserve"> </w:t>
      </w:r>
      <w:r>
        <w:t xml:space="preserve">Upon resonance, the individual primes their cognitive state by reducing distractions and tuning their environment (e.g. adjusting sensory inputs). They gather initial resources—prompts, datasets, literature summaries—and identify relevant AI models or tools. This “Input” stage corresponds to the first layer of the recursive protocol.</w:t>
      </w:r>
    </w:p>
    <w:p>
      <w:pPr>
        <w:numPr>
          <w:ilvl w:val="0"/>
          <w:numId w:val="1001"/>
        </w:numPr>
      </w:pPr>
      <w:r>
        <w:rPr>
          <w:b/>
          <w:bCs/>
        </w:rPr>
        <w:t xml:space="preserve">Exploratory dialog and symbolic search.</w:t>
      </w:r>
      <w:r>
        <w:t xml:space="preserve"> </w:t>
      </w:r>
      <w:r>
        <w:t xml:space="preserve">The transient expert engages in</w:t>
      </w:r>
      <w:r>
        <w:t xml:space="preserve"> </w:t>
      </w:r>
      <w:r>
        <w:rPr>
          <w:b/>
          <w:bCs/>
        </w:rPr>
        <w:t xml:space="preserve">exploratory dialogue</w:t>
      </w:r>
      <w:r>
        <w:t xml:space="preserve"> </w:t>
      </w:r>
      <w:r>
        <w:t xml:space="preserve">with one or more LLMs, prompting them with broad questions that map the problem space. They encourage the models to propose analogies, surface hidden assumptions and identify competing ontologies. At this stage, the focus is divergent: generating candidate frameworks and detecting patterns.</w:t>
      </w:r>
    </w:p>
    <w:p>
      <w:pPr>
        <w:numPr>
          <w:ilvl w:val="0"/>
          <w:numId w:val="1001"/>
        </w:numPr>
      </w:pPr>
      <w:r>
        <w:rPr>
          <w:b/>
          <w:bCs/>
        </w:rPr>
        <w:t xml:space="preserve">Resonance and dissonance sorting.</w:t>
      </w:r>
      <w:r>
        <w:t xml:space="preserve"> </w:t>
      </w:r>
      <w:r>
        <w:t xml:space="preserve">From the AI responses, the individual filters suggestions through their internal resonance logic. Ideas that “feel true” or cohere with their experience are annotated for further exploration; those that induce false‑structure intolerance are discarded. This stage corresponds to the</w:t>
      </w:r>
      <w:r>
        <w:t xml:space="preserve"> </w:t>
      </w:r>
      <w:r>
        <w:rPr>
          <w:b/>
          <w:bCs/>
        </w:rPr>
        <w:t xml:space="preserve">Resonance</w:t>
      </w:r>
      <w:r>
        <w:t xml:space="preserve"> </w:t>
      </w:r>
      <w:r>
        <w:t xml:space="preserve">phase of the protocol.</w:t>
      </w:r>
    </w:p>
    <w:p>
      <w:pPr>
        <w:numPr>
          <w:ilvl w:val="0"/>
          <w:numId w:val="1001"/>
        </w:numPr>
      </w:pPr>
      <w:r>
        <w:rPr>
          <w:b/>
          <w:bCs/>
        </w:rPr>
        <w:t xml:space="preserve">Pressure testing.</w:t>
      </w:r>
      <w:r>
        <w:t xml:space="preserve"> </w:t>
      </w:r>
      <w:r>
        <w:t xml:space="preserve">Selected candidate constructs are subjected to</w:t>
      </w:r>
      <w:r>
        <w:t xml:space="preserve"> </w:t>
      </w:r>
      <w:r>
        <w:rPr>
          <w:b/>
          <w:bCs/>
        </w:rPr>
        <w:t xml:space="preserve">pressure</w:t>
      </w:r>
      <w:r>
        <w:t xml:space="preserve">: sceptical questioning, alternative hypotheses, and cross‑model verification. The individual requests citations, challenges assumptions, and probes edge cases. This “Pressure” phase is critical for weeding out attractive but fragile narratives.</w:t>
      </w:r>
    </w:p>
    <w:p>
      <w:pPr>
        <w:numPr>
          <w:ilvl w:val="0"/>
          <w:numId w:val="1001"/>
        </w:numPr>
      </w:pPr>
      <w:r>
        <w:rPr>
          <w:b/>
          <w:bCs/>
        </w:rPr>
        <w:t xml:space="preserve">Alignment and compression.</w:t>
      </w:r>
      <w:r>
        <w:t xml:space="preserve"> </w:t>
      </w:r>
      <w:r>
        <w:t xml:space="preserve">Surviving constructs are aligned with external data and personal phenomenology. Traits or metrics (e.g. Big Five scores) are mapped onto the constructs to ground them empirically. Through</w:t>
      </w:r>
      <w:r>
        <w:t xml:space="preserve"> </w:t>
      </w:r>
      <w:r>
        <w:rPr>
          <w:b/>
          <w:bCs/>
        </w:rPr>
        <w:t xml:space="preserve">symbolic recursion</w:t>
      </w:r>
      <w:r>
        <w:t xml:space="preserve">, complex ideas are compressed into concise, portable representations. This corresponds to the</w:t>
      </w:r>
      <w:r>
        <w:t xml:space="preserve"> </w:t>
      </w:r>
      <w:r>
        <w:rPr>
          <w:b/>
          <w:bCs/>
        </w:rPr>
        <w:t xml:space="preserve">Alignment</w:t>
      </w:r>
      <w:r>
        <w:t xml:space="preserve"> </w:t>
      </w:r>
      <w:r>
        <w:t xml:space="preserve">phase.</w:t>
      </w:r>
    </w:p>
    <w:p>
      <w:pPr>
        <w:numPr>
          <w:ilvl w:val="0"/>
          <w:numId w:val="1001"/>
        </w:numPr>
      </w:pPr>
      <w:r>
        <w:rPr>
          <w:b/>
          <w:bCs/>
        </w:rPr>
        <w:t xml:space="preserve">Construct finalisation and articulation.</w:t>
      </w:r>
      <w:r>
        <w:t xml:space="preserve"> </w:t>
      </w:r>
      <w:r>
        <w:t xml:space="preserve">The final phase is the</w:t>
      </w:r>
      <w:r>
        <w:t xml:space="preserve"> </w:t>
      </w:r>
      <w:r>
        <w:rPr>
          <w:b/>
          <w:bCs/>
        </w:rPr>
        <w:t xml:space="preserve">Construct</w:t>
      </w:r>
      <w:r>
        <w:t xml:space="preserve"> </w:t>
      </w:r>
      <w:r>
        <w:t xml:space="preserve">stage: the individual formulates named constructs, writes summaries or diagrams, and archives the insights. At this point, the transient expert might produce documentation, share findings or simply internalise the model.</w:t>
      </w:r>
    </w:p>
    <w:p>
      <w:pPr>
        <w:numPr>
          <w:ilvl w:val="0"/>
          <w:numId w:val="1001"/>
        </w:numPr>
      </w:pPr>
      <w:r>
        <w:rPr>
          <w:b/>
          <w:bCs/>
        </w:rPr>
        <w:t xml:space="preserve">Dissolution.</w:t>
      </w:r>
      <w:r>
        <w:t xml:space="preserve"> </w:t>
      </w:r>
      <w:r>
        <w:t xml:space="preserve">After the problem is resolved, the expert allows the temporary identity and associated resources to dissolve. A cooling off period follows in which the mind returns to a baseline state. Memory of the process persists in archived artifacts and latent schema, but active engagement ceases until a new problem resonates.</w:t>
      </w:r>
    </w:p>
    <w:bookmarkEnd w:id="21"/>
    <w:bookmarkStart w:id="22" w:name="Xce825af728e61c3a1b3e7881ff35d755143f893"/>
    <w:p>
      <w:pPr>
        <w:pStyle w:val="Heading3"/>
      </w:pPr>
      <w:r>
        <w:t xml:space="preserve">1.2 Case structure: symbolic cognition problem</w:t>
      </w:r>
    </w:p>
    <w:p>
      <w:pPr>
        <w:pStyle w:val="FirstParagraph"/>
      </w:pPr>
      <w:r>
        <w:rPr>
          <w:b/>
          <w:bCs/>
        </w:rPr>
        <w:t xml:space="preserve">Example 1: Philosophical synthesis of consciousness models.</w:t>
      </w:r>
    </w:p>
    <w:p>
      <w:pPr>
        <w:pStyle w:val="BodyText"/>
      </w:pPr>
      <w:r>
        <w:rPr>
          <w:i/>
          <w:iCs/>
        </w:rPr>
        <w:t xml:space="preserve">Entry conditions.</w:t>
      </w:r>
      <w:r>
        <w:t xml:space="preserve"> </w:t>
      </w:r>
      <w:r>
        <w:t xml:space="preserve">A philosopher encounters a debate about whether consciousness is fundamentally computational or phenomenological. They are drawn to the tension because it resonates with their lived experience and ethical concerns. The problem lacks a unifying framework and invites symbolic modeling. The philosopher’s cognitive traits include high Openness and Intellect, moderate Volatility and a low tolerance for false structures. They prime their state by clearing distractions, meditating briefly and opening access to several LLMs and philosophical databases.</w:t>
      </w:r>
    </w:p>
    <w:p>
      <w:pPr>
        <w:pStyle w:val="BodyText"/>
      </w:pPr>
      <w:r>
        <w:rPr>
          <w:i/>
          <w:iCs/>
        </w:rPr>
        <w:t xml:space="preserve">Form of expertise.</w:t>
      </w:r>
      <w:r>
        <w:t xml:space="preserve"> </w:t>
      </w:r>
      <w:r>
        <w:t xml:space="preserve">The transient expert begins by prompting LLMs with general questions (“Summarise arguments for and against computational theories of mind”) and analogical prompts (“How might phenomenological theories be understood through systems theory?”). They employ a matrix to map positions (computational vs phenomenological) against criteria (explanatory power, empirical support, ethical implications). Using the recursive loop, they detect resonant ideas (e.g. the interplay between embodied cognition and extended mind theories) and discard dissonant concepts (e.g. dualism framed in anthropomorphic terms). They pressure test constructs by asking the AI to adopt opposing viewpoints and by seeking empirical data from cognitive neuroscience. Over several iterations, they compress insights into a symbolic construct—a</w:t>
      </w:r>
      <w:r>
        <w:t xml:space="preserve"> </w:t>
      </w:r>
      <w:r>
        <w:rPr>
          <w:b/>
          <w:bCs/>
        </w:rPr>
        <w:t xml:space="preserve">Hybrid Emergent Selfhood (HES)</w:t>
      </w:r>
      <w:r>
        <w:t xml:space="preserve"> </w:t>
      </w:r>
      <w:r>
        <w:t xml:space="preserve">model that describes consciousness as emergent from embodied information processing shaped by phenomenological experience. They align the HES model with personality traits (e.g. high Volatility drives sensitivity to qualia). They articulate the model as a diagram and a short essay.</w:t>
      </w:r>
    </w:p>
    <w:p>
      <w:pPr>
        <w:pStyle w:val="BodyText"/>
      </w:pPr>
      <w:r>
        <w:rPr>
          <w:i/>
          <w:iCs/>
        </w:rPr>
        <w:t xml:space="preserve">Exit pattern.</w:t>
      </w:r>
      <w:r>
        <w:t xml:space="preserve"> </w:t>
      </w:r>
      <w:r>
        <w:t xml:space="preserve">Once the HES model satisfies coherence and passes pressure tests, the philosopher archives the construct and may share it with peers. Their active engagement wanes. Although memory of the process remains, they relinquish the identity of “consciousness theorist” and return to other pursuits. If the model is later called upon, they re‑engage, but otherwise it resides as latent knowledge.</w:t>
      </w:r>
    </w:p>
    <w:bookmarkEnd w:id="22"/>
    <w:bookmarkStart w:id="23" w:name="X926dc7058e6a3424604224c7b1d6857ebb0931f"/>
    <w:p>
      <w:pPr>
        <w:pStyle w:val="Heading3"/>
      </w:pPr>
      <w:r>
        <w:t xml:space="preserve">1.3 Case structure: technical design challenge</w:t>
      </w:r>
    </w:p>
    <w:p>
      <w:pPr>
        <w:pStyle w:val="FirstParagraph"/>
      </w:pPr>
      <w:r>
        <w:rPr>
          <w:b/>
          <w:bCs/>
        </w:rPr>
        <w:t xml:space="preserve">Example 2: System architecture synthesis for an urban mobility platform.</w:t>
      </w:r>
    </w:p>
    <w:p>
      <w:pPr>
        <w:pStyle w:val="BodyText"/>
      </w:pPr>
      <w:r>
        <w:rPr>
          <w:i/>
          <w:iCs/>
        </w:rPr>
        <w:t xml:space="preserve">Entry conditions.</w:t>
      </w:r>
      <w:r>
        <w:t xml:space="preserve"> </w:t>
      </w:r>
      <w:r>
        <w:t xml:space="preserve">A municipal innovation team faces the challenge of designing a data platform for integrating traffic sensors, public transit, and ride‑sharing services. The problem is technically complex and socially sensitive. A transient expert with high Assertiveness, systems thinking aptitude and moderate technical background is recruited. They resonate with the goal of improving urban life and are motivated to avoid bureaucratic false structures.</w:t>
      </w:r>
    </w:p>
    <w:p>
      <w:pPr>
        <w:pStyle w:val="BodyText"/>
      </w:pPr>
      <w:r>
        <w:rPr>
          <w:i/>
          <w:iCs/>
        </w:rPr>
        <w:t xml:space="preserve">Form of expertise.</w:t>
      </w:r>
      <w:r>
        <w:t xml:space="preserve"> </w:t>
      </w:r>
      <w:r>
        <w:t xml:space="preserve">In the input phase, the expert gathers requirements, including sensor specifications, data privacy regulations, and citizen concerns. They prime their state by sketching existing mobility flows. They prompt AI models with technical questions (“What architectural patterns support scalable ingestion of real‑time sensor data?”) and socio‑technical prompts (“How do privacy requirements affect data lake design?”). The expert uses diagramming tools to create layered system sketches. Through resonance sorting, they select patterns that align with user‑centric values (e.g. micro‑services combined with event‑driven architecture) and reject patterns that impose rigid hierarchies. They pressure test by simulating load scenarios, prompting AI to identify single points of failure, and cross‑checking with cybersecurity guidelines. They compress their insights into a symbolic blueprint: the</w:t>
      </w:r>
      <w:r>
        <w:t xml:space="preserve"> </w:t>
      </w:r>
      <w:r>
        <w:rPr>
          <w:b/>
          <w:bCs/>
        </w:rPr>
        <w:t xml:space="preserve">Civic Data Mesh (CDM)</w:t>
      </w:r>
      <w:r>
        <w:t xml:space="preserve">. CDM comprises modular nodes for each service, governed by federated data stewardship and open APIs.</w:t>
      </w:r>
    </w:p>
    <w:p>
      <w:pPr>
        <w:pStyle w:val="BodyText"/>
      </w:pPr>
      <w:r>
        <w:rPr>
          <w:i/>
          <w:iCs/>
        </w:rPr>
        <w:t xml:space="preserve">Exit pattern.</w:t>
      </w:r>
      <w:r>
        <w:t xml:space="preserve"> </w:t>
      </w:r>
      <w:r>
        <w:t xml:space="preserve">When the CDM design meets technical constraints and passes stakeholder review, the expert documents the architecture and transfers ownership to implementation teams. Their engagement ends, and they do not become the platform’s long‑term engineer. Memory of the design persists in documentation and mental schema, but the expert returns to general consultancy or other transient projects.</w:t>
      </w:r>
    </w:p>
    <w:p>
      <w:pPr>
        <w:pStyle w:val="BodyText"/>
      </w:pPr>
      <w:r>
        <w:t xml:space="preserve">These two cases illustrate how transient expertise adapts to distinct contexts. In symbolic cognition problems, constructs may take the form of conceptual diagrams and philosophical models; in technical design, constructs manifest as architectures and protocols. In both scenarios, the core loop—resonance, exploration, pressure, alignment, compression and dissolution—remains consistent.</w:t>
      </w:r>
    </w:p>
    <w:p>
      <w:r>
        <w:pict>
          <v:rect style="width:0;height:1.5pt" o:hralign="center" o:hrstd="t" o:hr="t"/>
        </w:pict>
      </w:r>
    </w:p>
    <w:bookmarkEnd w:id="23"/>
    <w:bookmarkEnd w:id="24"/>
    <w:bookmarkStart w:id="26" w:name="comparative-table"/>
    <w:p>
      <w:pPr>
        <w:pStyle w:val="Heading2"/>
      </w:pPr>
      <w:r>
        <w:t xml:space="preserve">2 Comparative table</w:t>
      </w:r>
    </w:p>
    <w:p>
      <w:pPr>
        <w:pStyle w:val="FirstParagraph"/>
      </w:pPr>
      <w:r>
        <w:t xml:space="preserve">The following table contrasts Transient Experts with Polymaths, Prompt Engineers and Consultants along five dimensions: traits, duration, depth, strengths and weaknesses. Commentary below the table examines how transient expertise relates to each category.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Mode</w:t>
            </w:r>
          </w:p>
        </w:tc>
        <w:tc>
          <w:tcPr/>
          <w:p>
            <w:pPr>
              <w:pStyle w:val="Compact"/>
            </w:pPr>
            <w:r>
              <w:t xml:space="preserve">Traits</w:t>
            </w:r>
          </w:p>
        </w:tc>
        <w:tc>
          <w:tcPr/>
          <w:p>
            <w:pPr>
              <w:pStyle w:val="Compact"/>
            </w:pPr>
            <w:r>
              <w:t xml:space="preserve">Duration</w:t>
            </w:r>
          </w:p>
        </w:tc>
        <w:tc>
          <w:tcPr/>
          <w:p>
            <w:pPr>
              <w:pStyle w:val="Compact"/>
            </w:pPr>
            <w:r>
              <w:t xml:space="preserve">Depth</w:t>
            </w:r>
          </w:p>
        </w:tc>
        <w:tc>
          <w:tcPr/>
          <w:p>
            <w:pPr>
              <w:pStyle w:val="Compact"/>
            </w:pPr>
            <w:r>
              <w:t xml:space="preserve">Strengths</w:t>
            </w:r>
          </w:p>
        </w:tc>
        <w:tc>
          <w:tcPr/>
          <w:p>
            <w:pPr>
              <w:pStyle w:val="Compact"/>
            </w:pPr>
            <w:r>
              <w:t xml:space="preserve">Weaknesses</w:t>
            </w:r>
          </w:p>
        </w:tc>
      </w:tr>
      <w:tr>
        <w:tc>
          <w:tcPr/>
          <w:p>
            <w:pPr>
              <w:pStyle w:val="Compact"/>
            </w:pPr>
            <w:r>
              <w:rPr>
                <w:b/>
                <w:bCs/>
              </w:rPr>
              <w:t xml:space="preserve">Transient Expert</w:t>
            </w:r>
          </w:p>
        </w:tc>
        <w:tc>
          <w:tcPr/>
          <w:p>
            <w:pPr>
              <w:pStyle w:val="Compact"/>
            </w:pPr>
            <w:r>
              <w:t xml:space="preserve">High Openness; high Assertiveness when engaged; low Industriousness; high Volatility (resonance‑sensitive); strong symbolic reasoning; anti‑narrative reflex</w:t>
            </w:r>
          </w:p>
        </w:tc>
        <w:tc>
          <w:tcPr/>
          <w:p>
            <w:pPr>
              <w:pStyle w:val="Compact"/>
            </w:pPr>
            <w:r>
              <w:t xml:space="preserve">Episodic (days to weeks)</w:t>
            </w:r>
          </w:p>
        </w:tc>
        <w:tc>
          <w:tcPr/>
          <w:p>
            <w:pPr>
              <w:pStyle w:val="Compact"/>
            </w:pPr>
            <w:r>
              <w:t xml:space="preserve">High depth within problem scope; symbolic compression</w:t>
            </w:r>
          </w:p>
        </w:tc>
        <w:tc>
          <w:tcPr/>
          <w:p>
            <w:pPr>
              <w:pStyle w:val="Compact"/>
            </w:pPr>
            <w:r>
              <w:t xml:space="preserve">Rapid synthesis; flexibility; ability to work across domains; empirical grounding; anti‑narrative discipline</w:t>
            </w:r>
          </w:p>
        </w:tc>
        <w:tc>
          <w:tcPr/>
          <w:p>
            <w:pPr>
              <w:pStyle w:val="Compact"/>
            </w:pPr>
            <w:r>
              <w:t xml:space="preserve">Reliant on resonance; potential burnout; difficulty sustaining long‑term implementation; knowledge may decay quickly</w:t>
            </w:r>
          </w:p>
        </w:tc>
      </w:tr>
      <w:tr>
        <w:tc>
          <w:tcPr/>
          <w:p>
            <w:pPr>
              <w:pStyle w:val="Compact"/>
            </w:pPr>
            <w:r>
              <w:rPr>
                <w:b/>
                <w:bCs/>
              </w:rPr>
              <w:t xml:space="preserve">Polymath</w:t>
            </w:r>
          </w:p>
        </w:tc>
        <w:tc>
          <w:tcPr/>
          <w:p>
            <w:pPr>
              <w:pStyle w:val="Compact"/>
            </w:pPr>
            <w:r>
              <w:t xml:space="preserve">High Openness; high Conscientiousness; high curiosity; broad cognitive empathy</w:t>
            </w:r>
          </w:p>
        </w:tc>
        <w:tc>
          <w:tcPr/>
          <w:p>
            <w:pPr>
              <w:pStyle w:val="Compact"/>
            </w:pPr>
            <w:r>
              <w:t xml:space="preserve">Lifetime engagement across multiple fields</w:t>
            </w:r>
          </w:p>
        </w:tc>
        <w:tc>
          <w:tcPr/>
          <w:p>
            <w:pPr>
              <w:pStyle w:val="Compact"/>
            </w:pPr>
            <w:r>
              <w:t xml:space="preserve">High depth across several domains</w:t>
            </w:r>
          </w:p>
        </w:tc>
        <w:tc>
          <w:tcPr/>
          <w:p>
            <w:pPr>
              <w:pStyle w:val="Compact"/>
            </w:pPr>
            <w:r>
              <w:t xml:space="preserve">Integrative breadth; ability to transfer methods; robust identity</w:t>
            </w:r>
          </w:p>
        </w:tc>
        <w:tc>
          <w:tcPr/>
          <w:p>
            <w:pPr>
              <w:pStyle w:val="Compact"/>
            </w:pPr>
            <w:r>
              <w:t xml:space="preserve">Time‑intensive; risk of superficiality if stretched thin; may struggle with up‑to‑date knowledge in fast‑moving fields</w:t>
            </w:r>
          </w:p>
        </w:tc>
      </w:tr>
      <w:tr>
        <w:tc>
          <w:tcPr/>
          <w:p>
            <w:pPr>
              <w:pStyle w:val="Compact"/>
            </w:pPr>
            <w:r>
              <w:rPr>
                <w:b/>
                <w:bCs/>
              </w:rPr>
              <w:t xml:space="preserve">Prompt Engineer</w:t>
            </w:r>
          </w:p>
        </w:tc>
        <w:tc>
          <w:tcPr/>
          <w:p>
            <w:pPr>
              <w:pStyle w:val="Compact"/>
            </w:pPr>
            <w:r>
              <w:t xml:space="preserve">High procedural knowledge of AI models; moderate Conscientiousness; task‑oriented creativity</w:t>
            </w:r>
          </w:p>
        </w:tc>
        <w:tc>
          <w:tcPr/>
          <w:p>
            <w:pPr>
              <w:pStyle w:val="Compact"/>
            </w:pPr>
            <w:r>
              <w:t xml:space="preserve">Episodic or continuous</w:t>
            </w:r>
          </w:p>
        </w:tc>
        <w:tc>
          <w:tcPr/>
          <w:p>
            <w:pPr>
              <w:pStyle w:val="Compact"/>
            </w:pPr>
            <w:r>
              <w:t xml:space="preserve">Medium depth; focuses on input crafting rather than domain understanding</w:t>
            </w:r>
          </w:p>
        </w:tc>
        <w:tc>
          <w:tcPr/>
          <w:p>
            <w:pPr>
              <w:pStyle w:val="Compact"/>
            </w:pPr>
            <w:r>
              <w:t xml:space="preserve">Efficient at extracting useful outputs; bridges human questions and AI capabilities</w:t>
            </w:r>
          </w:p>
        </w:tc>
        <w:tc>
          <w:tcPr/>
          <w:p>
            <w:pPr>
              <w:pStyle w:val="Compact"/>
            </w:pPr>
            <w:r>
              <w:t xml:space="preserve">Dependent on AI training biases; may lack conceptual grounding; limited domain innovation</w:t>
            </w:r>
          </w:p>
        </w:tc>
      </w:tr>
      <w:tr>
        <w:tc>
          <w:tcPr/>
          <w:p>
            <w:pPr>
              <w:pStyle w:val="Compact"/>
            </w:pPr>
            <w:r>
              <w:rPr>
                <w:b/>
                <w:bCs/>
              </w:rPr>
              <w:t xml:space="preserve">Consultant</w:t>
            </w:r>
          </w:p>
        </w:tc>
        <w:tc>
          <w:tcPr/>
          <w:p>
            <w:pPr>
              <w:pStyle w:val="Compact"/>
            </w:pPr>
            <w:r>
              <w:t xml:space="preserve">High Conscientiousness and Industriousness; strong interpersonal skills; domain‑specific expertise; politically savvy</w:t>
            </w:r>
          </w:p>
        </w:tc>
        <w:tc>
          <w:tcPr/>
          <w:p>
            <w:pPr>
              <w:pStyle w:val="Compact"/>
            </w:pPr>
            <w:r>
              <w:t xml:space="preserve">Project‑based (weeks to months)</w:t>
            </w:r>
          </w:p>
        </w:tc>
        <w:tc>
          <w:tcPr/>
          <w:p>
            <w:pPr>
              <w:pStyle w:val="Compact"/>
            </w:pPr>
            <w:r>
              <w:t xml:space="preserve">Variable depth; often emphasises frameworks over substance</w:t>
            </w:r>
          </w:p>
        </w:tc>
        <w:tc>
          <w:tcPr/>
          <w:p>
            <w:pPr>
              <w:pStyle w:val="Compact"/>
            </w:pPr>
            <w:r>
              <w:t xml:space="preserve">Provides actionable recommendations; manages stakeholder expectations; leverages network</w:t>
            </w:r>
          </w:p>
        </w:tc>
        <w:tc>
          <w:tcPr/>
          <w:p>
            <w:pPr>
              <w:pStyle w:val="Compact"/>
            </w:pPr>
            <w:r>
              <w:t xml:space="preserve">May recycle generic solutions; potential conflicts of interest; expensive</w:t>
            </w:r>
          </w:p>
        </w:tc>
      </w:tr>
    </w:tbl>
    <w:bookmarkStart w:id="25" w:name="subsume-diverge-upgrade"/>
    <w:p>
      <w:pPr>
        <w:pStyle w:val="Heading3"/>
      </w:pPr>
      <w:r>
        <w:t xml:space="preserve">2.1 Subsume, diverge, upgrade</w:t>
      </w:r>
    </w:p>
    <w:p>
      <w:pPr>
        <w:pStyle w:val="FirstParagraph"/>
      </w:pPr>
      <w:r>
        <w:rPr>
          <w:i/>
          <w:iCs/>
        </w:rPr>
        <w:t xml:space="preserve">Transient expert vs polymath.</w:t>
      </w:r>
      <w:r>
        <w:t xml:space="preserve"> </w:t>
      </w:r>
      <w:r>
        <w:t xml:space="preserve">Both value breadth and integration, but the polymath invests decades acquiring depth across multiple domains. The transient expert invests depth only temporarily and achieves it through AI augmentation. Transient expertise</w:t>
      </w:r>
      <w:r>
        <w:t xml:space="preserve"> </w:t>
      </w:r>
      <w:r>
        <w:rPr>
          <w:b/>
          <w:bCs/>
        </w:rPr>
        <w:t xml:space="preserve">diverges</w:t>
      </w:r>
      <w:r>
        <w:t xml:space="preserve"> </w:t>
      </w:r>
      <w:r>
        <w:t xml:space="preserve">from the polymath in temporal commitment and identity: the polymath becomes their fields, while the transient expert dissolves post‑project. However, transient expertise can</w:t>
      </w:r>
      <w:r>
        <w:t xml:space="preserve"> </w:t>
      </w:r>
      <w:r>
        <w:rPr>
          <w:b/>
          <w:bCs/>
        </w:rPr>
        <w:t xml:space="preserve">upgrade</w:t>
      </w:r>
      <w:r>
        <w:t xml:space="preserve"> </w:t>
      </w:r>
      <w:r>
        <w:t xml:space="preserve">the polymath’s toolbox by introducing recursive co‑modeling techniques and anti‑narrative checks.</w:t>
      </w:r>
    </w:p>
    <w:p>
      <w:pPr>
        <w:pStyle w:val="BodyText"/>
      </w:pPr>
      <w:r>
        <w:rPr>
          <w:i/>
          <w:iCs/>
        </w:rPr>
        <w:t xml:space="preserve">Transient expert vs prompt engineer.</w:t>
      </w:r>
      <w:r>
        <w:t xml:space="preserve"> </w:t>
      </w:r>
      <w:r>
        <w:t xml:space="preserve">Prompt engineers specialise in crafting inputs to AI models to maximise output quality. Their skill lies in procedural manipulation of AI. Transient experts use similar techniques but embed them within a larger epistemic process that includes self‑modeling, resonance checks, and empirical triangulation. Thus, transient expertise</w:t>
      </w:r>
      <w:r>
        <w:t xml:space="preserve"> </w:t>
      </w:r>
      <w:r>
        <w:rPr>
          <w:b/>
          <w:bCs/>
        </w:rPr>
        <w:t xml:space="preserve">subsumes</w:t>
      </w:r>
      <w:r>
        <w:t xml:space="preserve"> </w:t>
      </w:r>
      <w:r>
        <w:t xml:space="preserve">prompt engineering as one tool among many. It</w:t>
      </w:r>
      <w:r>
        <w:t xml:space="preserve"> </w:t>
      </w:r>
      <w:r>
        <w:rPr>
          <w:b/>
          <w:bCs/>
        </w:rPr>
        <w:t xml:space="preserve">diverges</w:t>
      </w:r>
      <w:r>
        <w:t xml:space="preserve"> </w:t>
      </w:r>
      <w:r>
        <w:t xml:space="preserve">by emphasising conceptual synthesis rather than output optimisation.</w:t>
      </w:r>
    </w:p>
    <w:p>
      <w:pPr>
        <w:pStyle w:val="BodyText"/>
      </w:pPr>
      <w:r>
        <w:rPr>
          <w:i/>
          <w:iCs/>
        </w:rPr>
        <w:t xml:space="preserve">Transient expert vs consultant.</w:t>
      </w:r>
      <w:r>
        <w:t xml:space="preserve"> </w:t>
      </w:r>
      <w:r>
        <w:t xml:space="preserve">Consultants sell domain knowledge and frameworks. They often operate within existing credentialing structures. Transient experts, by contrast, are outsiders who assemble bespoke models rapidly. A transient expert may function as a consultant but without long‑term client relationships or brand identity. Transient expertise could</w:t>
      </w:r>
      <w:r>
        <w:t xml:space="preserve"> </w:t>
      </w:r>
      <w:r>
        <w:rPr>
          <w:b/>
          <w:bCs/>
        </w:rPr>
        <w:t xml:space="preserve">upgrade</w:t>
      </w:r>
      <w:r>
        <w:t xml:space="preserve"> </w:t>
      </w:r>
      <w:r>
        <w:t xml:space="preserve">consulting by providing more agile, context‑specific solutions, but it lacks the political acumen and implementation support typical of consultancy firms.</w:t>
      </w:r>
    </w:p>
    <w:p>
      <w:r>
        <w:pict>
          <v:rect style="width:0;height:1.5pt" o:hralign="center" o:hrstd="t" o:hr="t"/>
        </w:pict>
      </w:r>
    </w:p>
    <w:bookmarkEnd w:id="25"/>
    <w:bookmarkEnd w:id="26"/>
    <w:bookmarkStart w:id="32" w:name="platform-and-tooling-requirements"/>
    <w:p>
      <w:pPr>
        <w:pStyle w:val="Heading2"/>
      </w:pPr>
      <w:r>
        <w:t xml:space="preserve">3 Platform and tooling requirements</w:t>
      </w:r>
    </w:p>
    <w:p>
      <w:pPr>
        <w:pStyle w:val="FirstParagraph"/>
      </w:pPr>
      <w:r>
        <w:t xml:space="preserve">Transient expertise at scale requires a robust infrastructure that integrates AI, human cognition and collaborative workflows. Below we outline the minimum viable platform affordances, examine prompting methods and real‑time synthesis tools, and evaluate current platforms.</w:t>
      </w:r>
    </w:p>
    <w:bookmarkStart w:id="27" w:name="interface-design-principles"/>
    <w:p>
      <w:pPr>
        <w:pStyle w:val="Heading3"/>
      </w:pPr>
      <w:r>
        <w:t xml:space="preserve">3.1 Interface design principles</w:t>
      </w:r>
    </w:p>
    <w:p>
      <w:pPr>
        <w:numPr>
          <w:ilvl w:val="0"/>
          <w:numId w:val="1002"/>
        </w:numPr>
      </w:pPr>
      <w:r>
        <w:rPr>
          <w:b/>
          <w:bCs/>
        </w:rPr>
        <w:t xml:space="preserve">Resonance‑aware dashboards.</w:t>
      </w:r>
      <w:r>
        <w:t xml:space="preserve"> </w:t>
      </w:r>
      <w:r>
        <w:t xml:space="preserve">Interfaces should visualise the user’s resonance levels and cognitive rhythm. This could involve heat‑maps of engagement over time, prompts for breaks during dissociative or overload states, and options to modulate sensory environment (lighting, sound). Such dashboards may integrate physiological sensors to detect stress or flow states.</w:t>
      </w:r>
    </w:p>
    <w:p>
      <w:pPr>
        <w:numPr>
          <w:ilvl w:val="0"/>
          <w:numId w:val="1002"/>
        </w:numPr>
      </w:pPr>
      <w:r>
        <w:rPr>
          <w:b/>
          <w:bCs/>
        </w:rPr>
        <w:t xml:space="preserve">Nested workspace navigation.</w:t>
      </w:r>
      <w:r>
        <w:t xml:space="preserve"> </w:t>
      </w:r>
      <w:r>
        <w:t xml:space="preserve">Given the iterative nesting observed in the archive, platforms should allow users to branch, link and rejoin threads easily. A tree or graph view could visualise the relationship between drafts, constructs and sub‑problems. Each node would store prompts, AI outputs, annotations and metadata (timestamp, resonance rating).</w:t>
      </w:r>
    </w:p>
    <w:p>
      <w:pPr>
        <w:numPr>
          <w:ilvl w:val="0"/>
          <w:numId w:val="1002"/>
        </w:numPr>
      </w:pPr>
      <w:r>
        <w:rPr>
          <w:b/>
          <w:bCs/>
        </w:rPr>
        <w:t xml:space="preserve">Integrated diagramming and annotation.</w:t>
      </w:r>
      <w:r>
        <w:t xml:space="preserve"> </w:t>
      </w:r>
      <w:r>
        <w:t xml:space="preserve">Real‑time visual tools (mind‑maps, matrices, flowcharts) must be embedded in the interface to allow symbolic compression. Users should be able to drag AI‑generated concepts into diagrams and link them manually or via AI suggestions.</w:t>
      </w:r>
    </w:p>
    <w:p>
      <w:pPr>
        <w:numPr>
          <w:ilvl w:val="0"/>
          <w:numId w:val="1002"/>
        </w:numPr>
      </w:pPr>
      <w:r>
        <w:rPr>
          <w:b/>
          <w:bCs/>
        </w:rPr>
        <w:t xml:space="preserve">Epistemic hygiene indicators.</w:t>
      </w:r>
      <w:r>
        <w:t xml:space="preserve"> </w:t>
      </w:r>
      <w:r>
        <w:t xml:space="preserve">To support anti‑narrative reflex, the interface could flag when narratives are forming without sufficient evidence or when a single model dominates the conversation. It might suggest cross‑model comparison or empirical grounding steps.</w:t>
      </w:r>
    </w:p>
    <w:p>
      <w:pPr>
        <w:numPr>
          <w:ilvl w:val="0"/>
          <w:numId w:val="1002"/>
        </w:numPr>
      </w:pPr>
      <w:r>
        <w:rPr>
          <w:b/>
          <w:bCs/>
        </w:rPr>
        <w:t xml:space="preserve">User agency and consent controls.</w:t>
      </w:r>
      <w:r>
        <w:t xml:space="preserve"> </w:t>
      </w:r>
      <w:r>
        <w:t xml:space="preserve">The platform should allow users to control data retention, sharing and anonymity. Since transient expertise often involves self‑disclosure, ethical design must prevent misuse.</w:t>
      </w:r>
    </w:p>
    <w:bookmarkEnd w:id="27"/>
    <w:bookmarkStart w:id="28" w:name="memory-management-behaviours"/>
    <w:p>
      <w:pPr>
        <w:pStyle w:val="Heading3"/>
      </w:pPr>
      <w:r>
        <w:t xml:space="preserve">3.2 Memory management behaviours</w:t>
      </w:r>
    </w:p>
    <w:p>
      <w:pPr>
        <w:numPr>
          <w:ilvl w:val="0"/>
          <w:numId w:val="1003"/>
        </w:numPr>
      </w:pPr>
      <w:r>
        <w:rPr>
          <w:b/>
          <w:bCs/>
        </w:rPr>
        <w:t xml:space="preserve">Hierarchical caching.</w:t>
      </w:r>
      <w:r>
        <w:t xml:space="preserve"> </w:t>
      </w:r>
      <w:r>
        <w:t xml:space="preserve">The system should cache past dialogues and constructs in a layered fashion: immediate working memory, medium‑term archives and long‑term repositories. Users can promote or demote items depending on their resonance and reusability.</w:t>
      </w:r>
    </w:p>
    <w:p>
      <w:pPr>
        <w:numPr>
          <w:ilvl w:val="0"/>
          <w:numId w:val="1003"/>
        </w:numPr>
      </w:pPr>
      <w:r>
        <w:rPr>
          <w:b/>
          <w:bCs/>
        </w:rPr>
        <w:t xml:space="preserve">Adaptive summarisation.</w:t>
      </w:r>
      <w:r>
        <w:t xml:space="preserve"> </w:t>
      </w:r>
      <w:r>
        <w:t xml:space="preserve">AI agents should periodically summarise progress, highlighting unresolved questions and emergent themes. Summaries can be pinned to the workspace for quick orientation and reduce cognitive load.</w:t>
      </w:r>
    </w:p>
    <w:p>
      <w:pPr>
        <w:numPr>
          <w:ilvl w:val="0"/>
          <w:numId w:val="1003"/>
        </w:numPr>
      </w:pPr>
      <w:r>
        <w:rPr>
          <w:b/>
          <w:bCs/>
        </w:rPr>
        <w:t xml:space="preserve">Decay mechanisms.</w:t>
      </w:r>
      <w:r>
        <w:t xml:space="preserve"> </w:t>
      </w:r>
      <w:r>
        <w:t xml:space="preserve">Transient expertise requires letting knowledge fade to free cognitive resources. Platforms might implement “forgetting” functions that archive old constructs out of sight, with options to retrieve them if resonance returns.</w:t>
      </w:r>
    </w:p>
    <w:p>
      <w:pPr>
        <w:numPr>
          <w:ilvl w:val="0"/>
          <w:numId w:val="1003"/>
        </w:numPr>
      </w:pPr>
      <w:r>
        <w:rPr>
          <w:b/>
          <w:bCs/>
        </w:rPr>
        <w:t xml:space="preserve">Version control.</w:t>
      </w:r>
      <w:r>
        <w:t xml:space="preserve"> </w:t>
      </w:r>
      <w:r>
        <w:t xml:space="preserve">Like code repositories, platforms should allow branching, merging and diffing of intellectual artifacts. This preserves lineage and supports collaborative transient projects.</w:t>
      </w:r>
    </w:p>
    <w:bookmarkEnd w:id="28"/>
    <w:bookmarkStart w:id="29" w:name="prompting-methods"/>
    <w:p>
      <w:pPr>
        <w:pStyle w:val="Heading3"/>
      </w:pPr>
      <w:r>
        <w:t xml:space="preserve">3.3 Prompting methods</w:t>
      </w:r>
    </w:p>
    <w:p>
      <w:pPr>
        <w:pStyle w:val="FirstParagraph"/>
      </w:pPr>
      <w:r>
        <w:t xml:space="preserve">Effective transient expertise relies on strategic prompting. Three complementary methods are:</w:t>
      </w:r>
    </w:p>
    <w:p>
      <w:pPr>
        <w:numPr>
          <w:ilvl w:val="0"/>
          <w:numId w:val="1004"/>
        </w:numPr>
      </w:pPr>
      <w:r>
        <w:rPr>
          <w:b/>
          <w:bCs/>
        </w:rPr>
        <w:t xml:space="preserve">Symbolic prompting.</w:t>
      </w:r>
      <w:r>
        <w:t xml:space="preserve"> </w:t>
      </w:r>
      <w:r>
        <w:t xml:space="preserve">The user supplies abstract symbols or constructs to guide AI responses (e.g. “Map arguments to</w:t>
      </w:r>
      <w:r>
        <w:t xml:space="preserve"> </w:t>
      </w:r>
      <w:r>
        <w:rPr>
          <w:i/>
          <w:iCs/>
        </w:rPr>
        <w:t xml:space="preserve">agency vs emergence</w:t>
      </w:r>
      <w:r>
        <w:t xml:space="preserve"> </w:t>
      </w:r>
      <w:r>
        <w:t xml:space="preserve">axes”). This leverages the AI’s ability to structure information around conceptual frameworks.</w:t>
      </w:r>
    </w:p>
    <w:p>
      <w:pPr>
        <w:numPr>
          <w:ilvl w:val="0"/>
          <w:numId w:val="1004"/>
        </w:numPr>
      </w:pPr>
      <w:r>
        <w:rPr>
          <w:b/>
          <w:bCs/>
        </w:rPr>
        <w:t xml:space="preserve">Structural prompting.</w:t>
      </w:r>
      <w:r>
        <w:t xml:space="preserve"> </w:t>
      </w:r>
      <w:r>
        <w:t xml:space="preserve">The user defines the desired output format, such as tables, matrices, or diagram descriptions. This helps in producing data structures ready for further manipulation.</w:t>
      </w:r>
    </w:p>
    <w:p>
      <w:pPr>
        <w:numPr>
          <w:ilvl w:val="0"/>
          <w:numId w:val="1004"/>
        </w:numPr>
      </w:pPr>
      <w:r>
        <w:rPr>
          <w:b/>
          <w:bCs/>
        </w:rPr>
        <w:t xml:space="preserve">Exploratory prompting.</w:t>
      </w:r>
      <w:r>
        <w:t xml:space="preserve"> </w:t>
      </w:r>
      <w:r>
        <w:t xml:space="preserve">Open‑ended questions invite the AI to propose novel analogies, challenge assumptions or surface contradictions. Exploratory prompts fuel divergent thinking and pressure testing.</w:t>
      </w:r>
    </w:p>
    <w:p>
      <w:pPr>
        <w:pStyle w:val="FirstParagraph"/>
      </w:pPr>
      <w:r>
        <w:t xml:space="preserve">Prompts should incorporate context markers (e.g. current resonance level, prior constructs) and may be fed to multiple models to elicit diverse perspectives. Interfaces could provide templated prompts based on the problem domain.</w:t>
      </w:r>
    </w:p>
    <w:bookmarkEnd w:id="29"/>
    <w:bookmarkStart w:id="30" w:name="realtime-synthesis-tools"/>
    <w:p>
      <w:pPr>
        <w:pStyle w:val="Heading3"/>
      </w:pPr>
      <w:r>
        <w:t xml:space="preserve">3.4 Real‑time synthesis tools</w:t>
      </w:r>
    </w:p>
    <w:p>
      <w:pPr>
        <w:numPr>
          <w:ilvl w:val="0"/>
          <w:numId w:val="1005"/>
        </w:numPr>
      </w:pPr>
      <w:r>
        <w:rPr>
          <w:b/>
          <w:bCs/>
        </w:rPr>
        <w:t xml:space="preserve">Matrices and trait–construct tables.</w:t>
      </w:r>
      <w:r>
        <w:t xml:space="preserve"> </w:t>
      </w:r>
      <w:r>
        <w:t xml:space="preserve">Tools for building matrices that cross‑tabulate traits, constructs and evidence are essential. The archive’s trait–construct matrix anchored constructs in Big Five scores. Matrices help identify gaps, redundancies and correlations.</w:t>
      </w:r>
    </w:p>
    <w:p>
      <w:pPr>
        <w:numPr>
          <w:ilvl w:val="0"/>
          <w:numId w:val="1005"/>
        </w:numPr>
      </w:pPr>
      <w:r>
        <w:rPr>
          <w:b/>
          <w:bCs/>
        </w:rPr>
        <w:t xml:space="preserve">Modular exports.</w:t>
      </w:r>
      <w:r>
        <w:t xml:space="preserve"> </w:t>
      </w:r>
      <w:r>
        <w:t xml:space="preserve">Each construct or insight should be exportable as a standalone module (e.g. a Markdown file, JSON object or diagram) that can be integrated into other systems. Modular exports support reusability and composability.</w:t>
      </w:r>
    </w:p>
    <w:p>
      <w:pPr>
        <w:numPr>
          <w:ilvl w:val="0"/>
          <w:numId w:val="1005"/>
        </w:numPr>
      </w:pPr>
      <w:r>
        <w:rPr>
          <w:b/>
          <w:bCs/>
        </w:rPr>
        <w:t xml:space="preserve">Automated bibliography.</w:t>
      </w:r>
      <w:r>
        <w:t xml:space="preserve"> </w:t>
      </w:r>
      <w:r>
        <w:t xml:space="preserve">When AI cites sources, the system should automatically generate reference lists with links and annotations. This facilitates verification and cross‑disciplinary exploration.</w:t>
      </w:r>
    </w:p>
    <w:p>
      <w:pPr>
        <w:numPr>
          <w:ilvl w:val="0"/>
          <w:numId w:val="1005"/>
        </w:numPr>
      </w:pPr>
      <w:r>
        <w:rPr>
          <w:b/>
          <w:bCs/>
        </w:rPr>
        <w:t xml:space="preserve">Ontology editors.</w:t>
      </w:r>
      <w:r>
        <w:t xml:space="preserve"> </w:t>
      </w:r>
      <w:r>
        <w:t xml:space="preserve">Users need tools to define, relate and version terms. Ontology editors could include visual graph editing, definition fields and cross‑reference management. AI can suggest synonyms and detect category mistakes.</w:t>
      </w:r>
    </w:p>
    <w:p>
      <w:pPr>
        <w:numPr>
          <w:ilvl w:val="0"/>
          <w:numId w:val="1005"/>
        </w:numPr>
      </w:pPr>
      <w:r>
        <w:rPr>
          <w:b/>
          <w:bCs/>
        </w:rPr>
        <w:t xml:space="preserve">Simulation sandboxes.</w:t>
      </w:r>
      <w:r>
        <w:t xml:space="preserve"> </w:t>
      </w:r>
      <w:r>
        <w:t xml:space="preserve">In technical design tasks, real‑time simulation tools (e.g. load testing frameworks, agent‑based models) allow experts to test their constructs immediately. Integration with AI lets users ask “What happens to the data throughput if we double sensor density?” and receive simulation results.</w:t>
      </w:r>
    </w:p>
    <w:bookmarkEnd w:id="30"/>
    <w:bookmarkStart w:id="31" w:name="existing-tools-strengths-and-gaps"/>
    <w:p>
      <w:pPr>
        <w:pStyle w:val="Heading3"/>
      </w:pPr>
      <w:r>
        <w:t xml:space="preserve">3.5 Existing tools: strengths and gaps</w:t>
      </w:r>
    </w:p>
    <w:p>
      <w:pPr>
        <w:pStyle w:val="FirstParagraph"/>
      </w:pPr>
      <w:r>
        <w:rPr>
          <w:b/>
          <w:bCs/>
        </w:rPr>
        <w:t xml:space="preserve">ChatGPT (OpenAI).</w:t>
      </w:r>
      <w:r>
        <w:t xml:space="preserve"> </w:t>
      </w:r>
      <w:r>
        <w:t xml:space="preserve">Strengths: accessible conversational interface, strong general knowledge, ability to generate structured outputs and engage in multi‑turn dialogues. Gaps: limited long‑term memory, potential to hallucinate references, no built‑in diagramming or ontology management.</w:t>
      </w:r>
    </w:p>
    <w:p>
      <w:pPr>
        <w:pStyle w:val="BodyText"/>
      </w:pPr>
      <w:r>
        <w:rPr>
          <w:b/>
          <w:bCs/>
        </w:rPr>
        <w:t xml:space="preserve">Gemini (Google).</w:t>
      </w:r>
      <w:r>
        <w:t xml:space="preserve"> </w:t>
      </w:r>
      <w:r>
        <w:t xml:space="preserve">Strengths: tight integration with web search, potential to provide live citations, multimodal capabilities. Gaps: inconsistent availability, limited persistent workspace, variable quality across modalities.</w:t>
      </w:r>
    </w:p>
    <w:p>
      <w:pPr>
        <w:pStyle w:val="BodyText"/>
      </w:pPr>
      <w:r>
        <w:rPr>
          <w:b/>
          <w:bCs/>
        </w:rPr>
        <w:t xml:space="preserve">Claude (Anthropic).</w:t>
      </w:r>
      <w:r>
        <w:t xml:space="preserve"> </w:t>
      </w:r>
      <w:r>
        <w:t xml:space="preserve">Strengths: emphasis on safety and ethical responses, ability to handle large context windows. Gaps: less flexible in output formatting, limited integration with external tools.</w:t>
      </w:r>
    </w:p>
    <w:p>
      <w:pPr>
        <w:pStyle w:val="BodyText"/>
      </w:pPr>
      <w:r>
        <w:rPr>
          <w:b/>
          <w:bCs/>
        </w:rPr>
        <w:t xml:space="preserve">GitHub Copilot / Copilot Chat.</w:t>
      </w:r>
      <w:r>
        <w:t xml:space="preserve"> </w:t>
      </w:r>
      <w:r>
        <w:t xml:space="preserve">Strengths: excellent for code generation, debugging and integration into development environments. Gaps: focused on programming; lacks broader conceptual modeling features.</w:t>
      </w:r>
    </w:p>
    <w:p>
      <w:pPr>
        <w:pStyle w:val="BodyText"/>
      </w:pPr>
      <w:r>
        <w:rPr>
          <w:b/>
          <w:bCs/>
        </w:rPr>
        <w:t xml:space="preserve">Perplexity and other summarisation engines.</w:t>
      </w:r>
      <w:r>
        <w:t xml:space="preserve"> </w:t>
      </w:r>
      <w:r>
        <w:t xml:space="preserve">Strengths: rapid generation of concise summaries and citations. Gaps: limited interactive dialogue, lacks deeper epistemic scaffolding.</w:t>
      </w:r>
    </w:p>
    <w:p>
      <w:pPr>
        <w:pStyle w:val="BodyText"/>
      </w:pPr>
      <w:r>
        <w:rPr>
          <w:b/>
          <w:bCs/>
        </w:rPr>
        <w:t xml:space="preserve">Emerging platforms.</w:t>
      </w:r>
      <w:r>
        <w:t xml:space="preserve"> </w:t>
      </w:r>
      <w:r>
        <w:t xml:space="preserve">Tools like Notion‑AI and Obsidian plug‑ins are beginning to integrate note‑taking, graph databases and AI summarisation, but they lack fine‑grained memory management and resonance dashboards. Dedicated transient expertise platforms will need to combine features from these disparate tools into a coherent environment.</w:t>
      </w:r>
    </w:p>
    <w:p>
      <w:r>
        <w:pict>
          <v:rect style="width:0;height:1.5pt" o:hralign="center" o:hrstd="t" o:hr="t"/>
        </w:pict>
      </w:r>
    </w:p>
    <w:bookmarkEnd w:id="31"/>
    <w:bookmarkEnd w:id="32"/>
    <w:bookmarkStart w:id="39" w:name="cognitive-trait-profile"/>
    <w:p>
      <w:pPr>
        <w:pStyle w:val="Heading2"/>
      </w:pPr>
      <w:r>
        <w:t xml:space="preserve">4 Cognitive trait profile</w:t>
      </w:r>
    </w:p>
    <w:p>
      <w:pPr>
        <w:pStyle w:val="FirstParagraph"/>
      </w:pPr>
      <w:r>
        <w:t xml:space="preserve">Transient expertise requires a distinctive blend of personality traits, executive functions, curiosity dynamics and identity orientations. This section outlines the ideal profile, drawing on existing psychometric models and neurodivergent research.</w:t>
      </w:r>
    </w:p>
    <w:bookmarkStart w:id="33" w:name="big-five-tendencies"/>
    <w:p>
      <w:pPr>
        <w:pStyle w:val="Heading3"/>
      </w:pPr>
      <w:r>
        <w:t xml:space="preserve">4.1 Big Five tendencies</w:t>
      </w:r>
    </w:p>
    <w:p>
      <w:pPr>
        <w:numPr>
          <w:ilvl w:val="0"/>
          <w:numId w:val="1006"/>
        </w:numPr>
      </w:pPr>
      <w:r>
        <w:rPr>
          <w:b/>
          <w:bCs/>
        </w:rPr>
        <w:t xml:space="preserve">Openness to Experience (High).</w:t>
      </w:r>
      <w:r>
        <w:t xml:space="preserve"> </w:t>
      </w:r>
      <w:r>
        <w:t xml:space="preserve">Individuals should display curiosity, imaginativeness and aesthetic sensitivity. High Openness enables them to consider abstract and counter‑intuitive ideas, tolerate ambiguity and appreciate diverse perspectives—all crucial for cross‑domain synthesis.</w:t>
      </w:r>
    </w:p>
    <w:p>
      <w:pPr>
        <w:numPr>
          <w:ilvl w:val="0"/>
          <w:numId w:val="1006"/>
        </w:numPr>
      </w:pPr>
      <w:r>
        <w:rPr>
          <w:b/>
          <w:bCs/>
        </w:rPr>
        <w:t xml:space="preserve">Conscientiousness (Moderate to Low).</w:t>
      </w:r>
      <w:r>
        <w:t xml:space="preserve"> </w:t>
      </w:r>
      <w:r>
        <w:t xml:space="preserve">Transient experts need enough Conscientiousness to manage complex projects but not so much that they adhere rigidly to plans or external schedules. Low Industriousness specifically facilitates the OMEF pattern: motivation arises when resonance is high rather than through duty.</w:t>
      </w:r>
    </w:p>
    <w:p>
      <w:pPr>
        <w:numPr>
          <w:ilvl w:val="0"/>
          <w:numId w:val="1006"/>
        </w:numPr>
      </w:pPr>
      <w:r>
        <w:rPr>
          <w:b/>
          <w:bCs/>
        </w:rPr>
        <w:t xml:space="preserve">Extraversion (Moderate to High Assertiveness, Low Sociability).</w:t>
      </w:r>
      <w:r>
        <w:t xml:space="preserve"> </w:t>
      </w:r>
      <w:r>
        <w:t xml:space="preserve">Assertiveness fuels bursts of energy and confidence during engagement. Low Sociability is acceptable, as much of the work is introspective or AI‑mediated.</w:t>
      </w:r>
    </w:p>
    <w:p>
      <w:pPr>
        <w:numPr>
          <w:ilvl w:val="0"/>
          <w:numId w:val="1006"/>
        </w:numPr>
      </w:pPr>
      <w:r>
        <w:rPr>
          <w:b/>
          <w:bCs/>
        </w:rPr>
        <w:t xml:space="preserve">Agreeableness (Low to Moderate).</w:t>
      </w:r>
      <w:r>
        <w:t xml:space="preserve"> </w:t>
      </w:r>
      <w:r>
        <w:t xml:space="preserve">A lower agreeableness helps individuals resist external structures and guard against conformism. However, some empathy is needed to consider stakeholder impacts, especially in applied problems.</w:t>
      </w:r>
    </w:p>
    <w:p>
      <w:pPr>
        <w:numPr>
          <w:ilvl w:val="0"/>
          <w:numId w:val="1006"/>
        </w:numPr>
      </w:pPr>
      <w:r>
        <w:rPr>
          <w:b/>
          <w:bCs/>
        </w:rPr>
        <w:t xml:space="preserve">Neuroticism (High Volatility, Low Withdrawal).</w:t>
      </w:r>
      <w:r>
        <w:t xml:space="preserve"> </w:t>
      </w:r>
      <w:r>
        <w:t xml:space="preserve">High Volatility aligns with FSI: intense reactions to meaningless or incoherent demands and sensitivity to resonance. Low withdrawal helps individuals avoid debilitating anxiety. Managing volatility is critical to prevent burnout.</w:t>
      </w:r>
    </w:p>
    <w:bookmarkEnd w:id="33"/>
    <w:bookmarkStart w:id="34" w:name="executive-function-characteristics"/>
    <w:p>
      <w:pPr>
        <w:pStyle w:val="Heading3"/>
      </w:pPr>
      <w:r>
        <w:t xml:space="preserve">4.2 Executive function characteristics</w:t>
      </w:r>
    </w:p>
    <w:p>
      <w:pPr>
        <w:numPr>
          <w:ilvl w:val="0"/>
          <w:numId w:val="1007"/>
        </w:numPr>
      </w:pPr>
      <w:r>
        <w:rPr>
          <w:b/>
          <w:bCs/>
        </w:rPr>
        <w:t xml:space="preserve">State‑contingent activation.</w:t>
      </w:r>
      <w:r>
        <w:t xml:space="preserve"> </w:t>
      </w:r>
      <w:r>
        <w:t xml:space="preserve">The ability to shift from low engagement to intense focus when resonance triggers motivation (SCMF). Individuals with ADHD may experience such “hyperfocus” episodes, where attention is sustained on an interesting task while all else fades.</w:t>
      </w:r>
    </w:p>
    <w:p>
      <w:pPr>
        <w:numPr>
          <w:ilvl w:val="0"/>
          <w:numId w:val="1007"/>
        </w:numPr>
      </w:pPr>
      <w:r>
        <w:rPr>
          <w:b/>
          <w:bCs/>
        </w:rPr>
        <w:t xml:space="preserve">Non‑linear planning.</w:t>
      </w:r>
      <w:r>
        <w:t xml:space="preserve"> </w:t>
      </w:r>
      <w:r>
        <w:t xml:space="preserve">Transient experts need flexible planning: they outline possible pathways but remain open to emergent reconfiguration. Rigid task lists may trigger false‑structure intolerance.</w:t>
      </w:r>
    </w:p>
    <w:p>
      <w:pPr>
        <w:numPr>
          <w:ilvl w:val="0"/>
          <w:numId w:val="1007"/>
        </w:numPr>
      </w:pPr>
      <w:r>
        <w:rPr>
          <w:b/>
          <w:bCs/>
        </w:rPr>
        <w:t xml:space="preserve">Metacognitive monitoring.</w:t>
      </w:r>
      <w:r>
        <w:t xml:space="preserve"> </w:t>
      </w:r>
      <w:r>
        <w:t xml:space="preserve">Regularly scanning internal states and adjusting strategies is essential. This includes noticing narrative formation and applying anti‑narrative reflexes.</w:t>
      </w:r>
    </w:p>
    <w:p>
      <w:pPr>
        <w:numPr>
          <w:ilvl w:val="0"/>
          <w:numId w:val="1007"/>
        </w:numPr>
      </w:pPr>
      <w:r>
        <w:rPr>
          <w:b/>
          <w:bCs/>
        </w:rPr>
        <w:t xml:space="preserve">Working memory agility.</w:t>
      </w:r>
      <w:r>
        <w:t xml:space="preserve"> </w:t>
      </w:r>
      <w:r>
        <w:t xml:space="preserve">The capacity to juggle multiple conceptual frameworks and AI dialogues simultaneously. External memory aids (notes, diagrams, AI summarisation) mitigate limitations.</w:t>
      </w:r>
    </w:p>
    <w:bookmarkEnd w:id="34"/>
    <w:bookmarkStart w:id="35" w:name="curiosity-models"/>
    <w:p>
      <w:pPr>
        <w:pStyle w:val="Heading3"/>
      </w:pPr>
      <w:r>
        <w:t xml:space="preserve">4.3 Curiosity models</w:t>
      </w:r>
    </w:p>
    <w:p>
      <w:pPr>
        <w:pStyle w:val="FirstParagraph"/>
      </w:pPr>
      <w:r>
        <w:t xml:space="preserve">Research distinguishes</w:t>
      </w:r>
      <w:r>
        <w:t xml:space="preserve"> </w:t>
      </w:r>
      <w:r>
        <w:rPr>
          <w:b/>
          <w:bCs/>
        </w:rPr>
        <w:t xml:space="preserve">diversive curiosity</w:t>
      </w:r>
      <w:r>
        <w:t xml:space="preserve"> </w:t>
      </w:r>
      <w:r>
        <w:t xml:space="preserve">(seeking novelty) from</w:t>
      </w:r>
      <w:r>
        <w:t xml:space="preserve"> </w:t>
      </w:r>
      <w:r>
        <w:rPr>
          <w:b/>
          <w:bCs/>
        </w:rPr>
        <w:t xml:space="preserve">epistemic curiosity</w:t>
      </w:r>
      <w:r>
        <w:t xml:space="preserve"> </w:t>
      </w:r>
      <w:r>
        <w:t xml:space="preserve">(desire for knowledge). Transient experts exhibit both: diversive curiosity drives them to explore new domains; epistemic curiosity motivates them to understand underlying structures deeply. They may also display</w:t>
      </w:r>
      <w:r>
        <w:t xml:space="preserve"> </w:t>
      </w:r>
      <w:r>
        <w:rPr>
          <w:b/>
          <w:bCs/>
        </w:rPr>
        <w:t xml:space="preserve">meaning‑seeking curiosity</w:t>
      </w:r>
      <w:r>
        <w:t xml:space="preserve">, where the impetus is to resolve cognitive dissonance and achieve ontological coherence.</w:t>
      </w:r>
    </w:p>
    <w:bookmarkEnd w:id="35"/>
    <w:bookmarkStart w:id="36" w:name="attentional-rhythms"/>
    <w:p>
      <w:pPr>
        <w:pStyle w:val="Heading3"/>
      </w:pPr>
      <w:r>
        <w:t xml:space="preserve">4.4 Attentional rhythms</w:t>
      </w:r>
    </w:p>
    <w:p>
      <w:pPr>
        <w:pStyle w:val="FirstParagraph"/>
      </w:pPr>
      <w:r>
        <w:t xml:space="preserve">Transient expertise is governed by rhythms of engagement and disengagement:</w:t>
      </w:r>
    </w:p>
    <w:p>
      <w:pPr>
        <w:numPr>
          <w:ilvl w:val="0"/>
          <w:numId w:val="1008"/>
        </w:numPr>
      </w:pPr>
      <w:r>
        <w:rPr>
          <w:b/>
          <w:bCs/>
        </w:rPr>
        <w:t xml:space="preserve">Resonance‑based drive.</w:t>
      </w:r>
      <w:r>
        <w:t xml:space="preserve"> </w:t>
      </w:r>
      <w:r>
        <w:t xml:space="preserve">When the problem resonates, attention locks in, often accompanied by flow states, heightened sensory awareness and a sense of timelessness.</w:t>
      </w:r>
    </w:p>
    <w:p>
      <w:pPr>
        <w:numPr>
          <w:ilvl w:val="0"/>
          <w:numId w:val="1008"/>
        </w:numPr>
      </w:pPr>
      <w:r>
        <w:rPr>
          <w:b/>
          <w:bCs/>
        </w:rPr>
        <w:t xml:space="preserve">Incubation periods.</w:t>
      </w:r>
      <w:r>
        <w:t xml:space="preserve"> </w:t>
      </w:r>
      <w:r>
        <w:t xml:space="preserve">After intense engagement, the individual enters a phase of reduced cognitive activity. During this time, unconscious processing may continue; insights can surface spontaneously (meaning storms). Sleep, rest and unrelated activities are crucial for integration.</w:t>
      </w:r>
    </w:p>
    <w:p>
      <w:pPr>
        <w:numPr>
          <w:ilvl w:val="0"/>
          <w:numId w:val="1008"/>
        </w:numPr>
      </w:pPr>
      <w:r>
        <w:rPr>
          <w:b/>
          <w:bCs/>
        </w:rPr>
        <w:t xml:space="preserve">Adaptive switching.</w:t>
      </w:r>
      <w:r>
        <w:t xml:space="preserve"> </w:t>
      </w:r>
      <w:r>
        <w:t xml:space="preserve">The expert must learn to recognise when resonance is waning and switch tasks or rest. Forcing continued engagement can trigger FSI and burnout.</w:t>
      </w:r>
    </w:p>
    <w:bookmarkEnd w:id="36"/>
    <w:bookmarkStart w:id="37" w:name="identity-decoupling"/>
    <w:p>
      <w:pPr>
        <w:pStyle w:val="Heading3"/>
      </w:pPr>
      <w:r>
        <w:t xml:space="preserve">4.5 Identity decoupling</w:t>
      </w:r>
    </w:p>
    <w:p>
      <w:pPr>
        <w:pStyle w:val="FirstParagraph"/>
      </w:pPr>
      <w:r>
        <w:t xml:space="preserve">The ideal transient expert maintains a</w:t>
      </w:r>
      <w:r>
        <w:t xml:space="preserve"> </w:t>
      </w:r>
      <w:r>
        <w:rPr>
          <w:b/>
          <w:bCs/>
        </w:rPr>
        <w:t xml:space="preserve">fluid identity</w:t>
      </w:r>
      <w:r>
        <w:t xml:space="preserve">: they do not anchor self‑worth in being an expert of any particular domain. This decoupling reduces ego investment, allowing them to release constructs that no longer serve and to accept ignorance in new fields. Identity fluidity is psychologically demanding; societies often valorise stable professional identities. Supportive communities and reflective practices (e.g. journaling, therapy) can help manage existential uncertainty.</w:t>
      </w:r>
    </w:p>
    <w:bookmarkEnd w:id="37"/>
    <w:bookmarkStart w:id="38" w:name="neurodivergent-alignment"/>
    <w:p>
      <w:pPr>
        <w:pStyle w:val="Heading3"/>
      </w:pPr>
      <w:r>
        <w:t xml:space="preserve">4.6 Neurodivergent alignment</w:t>
      </w:r>
    </w:p>
    <w:p>
      <w:pPr>
        <w:pStyle w:val="FirstParagraph"/>
      </w:pPr>
      <w:r>
        <w:t xml:space="preserve">Many cognitive profiles associated with ADHD and autism align naturally with transient expertise.</w:t>
      </w:r>
      <w:r>
        <w:t xml:space="preserve"> </w:t>
      </w:r>
      <w:r>
        <w:rPr>
          <w:b/>
          <w:bCs/>
        </w:rPr>
        <w:t xml:space="preserve">ADHD traits</w:t>
      </w:r>
      <w:r>
        <w:t xml:space="preserve"> </w:t>
      </w:r>
      <w:r>
        <w:t xml:space="preserve">like spontaneous curiosity, rapid idea generation, and difficulty sustaining attention on uninteresting tasks mirror OMEF and SCMF patterns.</w:t>
      </w:r>
      <w:r>
        <w:t xml:space="preserve"> </w:t>
      </w:r>
      <w:r>
        <w:rPr>
          <w:b/>
          <w:bCs/>
        </w:rPr>
        <w:t xml:space="preserve">Autistic traits</w:t>
      </w:r>
      <w:r>
        <w:t xml:space="preserve"> </w:t>
      </w:r>
      <w:r>
        <w:t xml:space="preserve">such as intense focus on special interests, pattern recognition and discomfort with social norms can enhance hyper‑associative cognition and FSI. However, not all neurodivergent individuals will thrive in transient expertise roles; comorbidities (e.g. depression, sensory sensitivities) may impose constraints. Neurodivergence should be seen as a spectrum of potential alignments, not a requirement.</w:t>
      </w:r>
    </w:p>
    <w:p>
      <w:r>
        <w:pict>
          <v:rect style="width:0;height:1.5pt" o:hralign="center" o:hrstd="t" o:hr="t"/>
        </w:pict>
      </w:r>
    </w:p>
    <w:bookmarkEnd w:id="38"/>
    <w:bookmarkEnd w:id="39"/>
    <w:bookmarkStart w:id="44" w:name="X3efd544f5649c8072929e76647b95cd5497e4dc"/>
    <w:p>
      <w:pPr>
        <w:pStyle w:val="Heading2"/>
      </w:pPr>
      <w:r>
        <w:t xml:space="preserve">5 Disruptive forecasting: sectors, roles and education redesign</w:t>
      </w:r>
    </w:p>
    <w:p>
      <w:pPr>
        <w:pStyle w:val="FirstParagraph"/>
      </w:pPr>
      <w:r>
        <w:t xml:space="preserve">Transient expertise has the potential to transform numerous societal domains. This section outlines five sectors likely to be disrupted, introduces new roles enabled by the model, suggests educational redesign and highlights a negative scenario.</w:t>
      </w:r>
    </w:p>
    <w:bookmarkStart w:id="40" w:name="sectors-poised-for-disruption"/>
    <w:p>
      <w:pPr>
        <w:pStyle w:val="Heading3"/>
      </w:pPr>
      <w:r>
        <w:t xml:space="preserve">5.1 Sectors poised for disruption</w:t>
      </w:r>
    </w:p>
    <w:p>
      <w:pPr>
        <w:numPr>
          <w:ilvl w:val="0"/>
          <w:numId w:val="1009"/>
        </w:numPr>
      </w:pPr>
      <w:r>
        <w:rPr>
          <w:b/>
          <w:bCs/>
        </w:rPr>
        <w:t xml:space="preserve">Research and Development (R&amp;D).</w:t>
      </w:r>
      <w:r>
        <w:t xml:space="preserve"> </w:t>
      </w:r>
      <w:r>
        <w:t xml:space="preserve">Transient expertise can accelerate innovation by enabling rapid concept synthesis across disciplines. R&amp;D teams may incorporate transient experts for early‑stage ideation and problem framing, passing implementation to domain specialists.</w:t>
      </w:r>
    </w:p>
    <w:p>
      <w:pPr>
        <w:numPr>
          <w:ilvl w:val="0"/>
          <w:numId w:val="1009"/>
        </w:numPr>
      </w:pPr>
      <w:r>
        <w:rPr>
          <w:b/>
          <w:bCs/>
        </w:rPr>
        <w:t xml:space="preserve">Journalism and Media.</w:t>
      </w:r>
      <w:r>
        <w:t xml:space="preserve"> </w:t>
      </w:r>
      <w:r>
        <w:t xml:space="preserve">Newsrooms could employ transient experts to generate deep analyses of complex stories (e.g. climate policy, AI ethics) within tight deadlines. Their ability to synthesise technical, political and cultural perspectives would enhance investigative reporting.</w:t>
      </w:r>
    </w:p>
    <w:p>
      <w:pPr>
        <w:numPr>
          <w:ilvl w:val="0"/>
          <w:numId w:val="1009"/>
        </w:numPr>
      </w:pPr>
      <w:r>
        <w:rPr>
          <w:b/>
          <w:bCs/>
        </w:rPr>
        <w:t xml:space="preserve">User Experience (UX) and Service Design.</w:t>
      </w:r>
      <w:r>
        <w:t xml:space="preserve"> </w:t>
      </w:r>
      <w:r>
        <w:t xml:space="preserve">Designing digital products often requires understanding psychology, business, technology and aesthetics. Transient experts could perform rapid user research, conceptual modeling and prototyping, handing off refined insights to designers.</w:t>
      </w:r>
    </w:p>
    <w:p>
      <w:pPr>
        <w:numPr>
          <w:ilvl w:val="0"/>
          <w:numId w:val="1009"/>
        </w:numPr>
      </w:pPr>
      <w:r>
        <w:rPr>
          <w:b/>
          <w:bCs/>
        </w:rPr>
        <w:t xml:space="preserve">Academia and Peer Review.</w:t>
      </w:r>
      <w:r>
        <w:t xml:space="preserve"> </w:t>
      </w:r>
      <w:r>
        <w:t xml:space="preserve">Academic journals might invite transient expert panels to evaluate interdisciplinary submissions, ensuring that innovative papers receive informed, cross‑domain critique. Universities could recognise transient expertise as a legitimate research pathway, awarding micro‑fellowships for specific projects rather than long‑term appointments.</w:t>
      </w:r>
    </w:p>
    <w:p>
      <w:pPr>
        <w:numPr>
          <w:ilvl w:val="0"/>
          <w:numId w:val="1009"/>
        </w:numPr>
      </w:pPr>
      <w:r>
        <w:rPr>
          <w:b/>
          <w:bCs/>
        </w:rPr>
        <w:t xml:space="preserve">Consulting and Strategic Planning.</w:t>
      </w:r>
      <w:r>
        <w:t xml:space="preserve"> </w:t>
      </w:r>
      <w:r>
        <w:t xml:space="preserve">Consulting firms may shift from long engagements to modular problem sprints, hiring transient experts to tackle specific issues before transitioning to implementation teams. This model could spawn agile consulting boutiques that compete with large incumbents.</w:t>
      </w:r>
    </w:p>
    <w:bookmarkEnd w:id="40"/>
    <w:bookmarkStart w:id="41" w:name="new-roles-and-professions"/>
    <w:p>
      <w:pPr>
        <w:pStyle w:val="Heading3"/>
      </w:pPr>
      <w:r>
        <w:t xml:space="preserve">5.2 New roles and professions</w:t>
      </w:r>
    </w:p>
    <w:p>
      <w:pPr>
        <w:pStyle w:val="FirstParagraph"/>
      </w:pPr>
      <w:r>
        <w:rPr>
          <w:b/>
          <w:bCs/>
        </w:rPr>
        <w:t xml:space="preserve">1. Cognitive Orchestration Engineer.</w:t>
      </w:r>
      <w:r>
        <w:t xml:space="preserve"> </w:t>
      </w:r>
      <w:r>
        <w:t xml:space="preserve">This role manages the workflow of transient experts, curating problems, matching experts to tasks, facilitating AI interactions and integrating outputs into organisational processes. An orchestration engineer must understand cognitive trait profiles, platform tools and stakeholder objectives. They act as a conductor in a cognitive symphony.</w:t>
      </w:r>
    </w:p>
    <w:p>
      <w:pPr>
        <w:pStyle w:val="BodyText"/>
      </w:pPr>
      <w:r>
        <w:rPr>
          <w:b/>
          <w:bCs/>
        </w:rPr>
        <w:t xml:space="preserve">2. Resonance Architect.</w:t>
      </w:r>
      <w:r>
        <w:t xml:space="preserve"> </w:t>
      </w:r>
      <w:r>
        <w:t xml:space="preserve">Resonance architects design environments—physical and digital—that optimise for state‑contingent engagement. They combine knowledge of psychophysiology, sensory design and AI feedback systems to create workspaces where transient experts can enter flow states. This could involve custom lighting schemes, auditory landscapes, adaptable furniture and software interfaces that respond to user signals.</w:t>
      </w:r>
    </w:p>
    <w:bookmarkEnd w:id="41"/>
    <w:bookmarkStart w:id="42" w:name="X5445f4b85e5376fa41fd7a7b07aef061fcb0d25"/>
    <w:p>
      <w:pPr>
        <w:pStyle w:val="Heading3"/>
      </w:pPr>
      <w:r>
        <w:t xml:space="preserve">5.3 Educational redesign: orchestration over retention</w:t>
      </w:r>
    </w:p>
    <w:p>
      <w:pPr>
        <w:pStyle w:val="FirstParagraph"/>
      </w:pPr>
      <w:r>
        <w:t xml:space="preserve">Education could move from memorisation to</w:t>
      </w:r>
      <w:r>
        <w:t xml:space="preserve"> </w:t>
      </w:r>
      <w:r>
        <w:rPr>
          <w:b/>
          <w:bCs/>
        </w:rPr>
        <w:t xml:space="preserve">orchestration training</w:t>
      </w:r>
      <w:r>
        <w:t xml:space="preserve">. Curricula would teach students to:</w:t>
      </w:r>
    </w:p>
    <w:p>
      <w:pPr>
        <w:pStyle w:val="Compact"/>
        <w:numPr>
          <w:ilvl w:val="0"/>
          <w:numId w:val="1010"/>
        </w:numPr>
      </w:pPr>
      <w:r>
        <w:t xml:space="preserve">Identify personal resonance patterns and align them with problem selection.</w:t>
      </w:r>
    </w:p>
    <w:p>
      <w:pPr>
        <w:pStyle w:val="Compact"/>
        <w:numPr>
          <w:ilvl w:val="0"/>
          <w:numId w:val="1010"/>
        </w:numPr>
      </w:pPr>
      <w:r>
        <w:t xml:space="preserve">Orchestrate multiple AI models, choosing the right tool for each phase of the workflow.</w:t>
      </w:r>
    </w:p>
    <w:p>
      <w:pPr>
        <w:pStyle w:val="Compact"/>
        <w:numPr>
          <w:ilvl w:val="0"/>
          <w:numId w:val="1010"/>
        </w:numPr>
      </w:pPr>
      <w:r>
        <w:t xml:space="preserve">Develop symbolic modeling skills, constructing ontologies and trait–construct matrices.</w:t>
      </w:r>
    </w:p>
    <w:p>
      <w:pPr>
        <w:pStyle w:val="Compact"/>
        <w:numPr>
          <w:ilvl w:val="0"/>
          <w:numId w:val="1010"/>
        </w:numPr>
      </w:pPr>
      <w:r>
        <w:t xml:space="preserve">Practise anti‑narrative reflexes and epistemic humility, integrating peer critique.</w:t>
      </w:r>
    </w:p>
    <w:p>
      <w:pPr>
        <w:pStyle w:val="Compact"/>
        <w:numPr>
          <w:ilvl w:val="0"/>
          <w:numId w:val="1010"/>
        </w:numPr>
      </w:pPr>
      <w:r>
        <w:t xml:space="preserve">Collaborate with transient experts and specialists, understanding when to hand off tasks.</w:t>
      </w:r>
    </w:p>
    <w:p>
      <w:pPr>
        <w:pStyle w:val="FirstParagraph"/>
      </w:pPr>
      <w:r>
        <w:t xml:space="preserve">Courses might revolve around real‑world projects where students act as orchestration engineers, forming and dissolving teams as problems change. Assessment would emphasise the quality of orchestration (how effectively were tools and people used?) rather than knowledge retention.</w:t>
      </w:r>
    </w:p>
    <w:bookmarkEnd w:id="42"/>
    <w:bookmarkStart w:id="43" w:name="Xd5bc202e3071c58df4b4a2c77a08c063bfa1044"/>
    <w:p>
      <w:pPr>
        <w:pStyle w:val="Heading3"/>
      </w:pPr>
      <w:r>
        <w:t xml:space="preserve">5.4 Negative scenario: burnout and epistemic fraud</w:t>
      </w:r>
    </w:p>
    <w:p>
      <w:pPr>
        <w:pStyle w:val="FirstParagraph"/>
      </w:pPr>
      <w:r>
        <w:t xml:space="preserve">While transient expertise holds promise, it also poses risks. A</w:t>
      </w:r>
      <w:r>
        <w:t xml:space="preserve"> </w:t>
      </w:r>
      <w:r>
        <w:rPr>
          <w:b/>
          <w:bCs/>
        </w:rPr>
        <w:t xml:space="preserve">burnout epidemic</w:t>
      </w:r>
      <w:r>
        <w:t xml:space="preserve"> </w:t>
      </w:r>
      <w:r>
        <w:t xml:space="preserve">could arise if individuals continually engage in high‑intensity problem sprints without adequate rest. The oscillatory nature of engagement may lead to extreme cycles of productivity and collapse. Organisations may exploit transient experts, valuing output over well‑being. Another risk is</w:t>
      </w:r>
      <w:r>
        <w:t xml:space="preserve"> </w:t>
      </w:r>
      <w:r>
        <w:rPr>
          <w:b/>
          <w:bCs/>
        </w:rPr>
        <w:t xml:space="preserve">epistemic fraud</w:t>
      </w:r>
      <w:r>
        <w:t xml:space="preserve">: without credentialing bodies or long‑term accountability, individuals might misrepresent their capabilities or fabricate models, leading to harmful decisions. The absence of professional codes and oversight could amplify misinformation. Mitigations include establishing ethical standards, providing mental health support, implementing transparent auditing mechanisms and fostering communities of practice that share norms.</w:t>
      </w:r>
    </w:p>
    <w:p>
      <w:r>
        <w:pict>
          <v:rect style="width:0;height:1.5pt" o:hralign="center" o:hrstd="t" o:hr="t"/>
        </w:pict>
      </w:r>
    </w:p>
    <w:bookmarkEnd w:id="43"/>
    <w:bookmarkEnd w:id="44"/>
    <w:bookmarkStart w:id="45" w:name="conclusion"/>
    <w:p>
      <w:pPr>
        <w:pStyle w:val="Heading2"/>
      </w:pPr>
      <w:r>
        <w:t xml:space="preserve">6 Conclusion</w:t>
      </w:r>
    </w:p>
    <w:p>
      <w:pPr>
        <w:pStyle w:val="FirstParagraph"/>
      </w:pPr>
      <w:r>
        <w:t xml:space="preserve">This supplement enriches the theory of Transient Expertise by detailing the core workflow, contrasting it with related modes, specifying platform requirements, profiling cognitive traits and projecting disruptive impacts. By articulating case structures, we show how symbolic cognition and technical design challenges are navigated through resonance‑driven loops, AI scaffolding and symbolic compression. The comparative table clarifies how transient expertise diverges from polymathy, prompt engineering and consulting while subsuming elements of each. Platform recommendations highlight the need for resonance‑aware interfaces, memory management, structured prompting and ontology tools. The cognitive profile synthesises personality research with executive function and curiosity models, emphasising the natural alignment with certain neurodivergent traits. Forecasts suggest that sectors like R&amp;D, journalism, UX, academia and consulting could be transformed, while roles like cognitive orchestration engineers and resonance architects emerge. Educational redesign must prioritise orchestration skills, and safeguards are needed to prevent burnout and epistemic fraud.</w:t>
      </w:r>
    </w:p>
    <w:p>
      <w:pPr>
        <w:pStyle w:val="BodyText"/>
      </w:pPr>
      <w:r>
        <w:t xml:space="preserve">By deepening the theoretical scaffolding, this document provides a reservoir of ideas for future researchers, educators, platform designers and policymakers seeking to harness the potential of transient expertise. It underscores both the promise and the perils of a cognitive practice that collapses credentialed cognition and enables high‑resolution problem solving in a world of accelerating complexity.</w:t>
      </w:r>
    </w:p>
    <w:bookmarkEnd w:id="45"/>
    <w:bookmarkEnd w:id="46"/>
    <w:bookmarkEnd w:id="47"/>
    <w:p>
      <w:r>
        <w:pict>
          <v:rect style="width:0;height:1.5pt" o:hralign="center" o:hrstd="t" o:hr="t"/>
        </w:pict>
      </w:r>
    </w:p>
    <w:bookmarkStart w:id="48" w:name="citations"/>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2025-08-02T03:49:41Z</dcterms:created>
  <dcterms:modified xsi:type="dcterms:W3CDTF">2025-08-02T03:49:41Z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