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3" w:name="content"/>
    <w:bookmarkStart w:id="32" w:name="X379ad732a5d08e1ebbbcda44f4e178b9aa52742"/>
    <w:p>
      <w:pPr>
        <w:pStyle w:val="Heading1"/>
      </w:pPr>
      <w:r>
        <w:t xml:space="preserve">Transient Expertise – Viability and Systemic Architecture</w:t>
      </w:r>
    </w:p>
    <w:bookmarkStart w:id="23" w:name="executive-summary"/>
    <w:p>
      <w:pPr>
        <w:pStyle w:val="Heading2"/>
      </w:pPr>
      <w:r>
        <w:t xml:space="preserve">Executive Summary</w:t>
      </w:r>
    </w:p>
    <w:p>
      <w:pPr>
        <w:pStyle w:val="FirstParagraph"/>
      </w:pPr>
      <w:r>
        <w:t xml:space="preserve">The documents collectively introduce</w:t>
      </w:r>
      <w:r>
        <w:t xml:space="preserve"> </w:t>
      </w:r>
      <w:r>
        <w:rPr>
          <w:b/>
          <w:bCs/>
        </w:rPr>
        <w:t xml:space="preserve">Transient Expertise</w:t>
      </w:r>
      <w:r>
        <w:t xml:space="preserve">—a mode of cognition in which a person temporarily acquires expert‑level insight into a specific, complex problem without formal training or long‑term identity investment</w:t>
      </w:r>
      <w:hyperlink r:id="rId21">
        <w:r>
          <w:rPr>
            <w:rStyle w:val="Hyperlink"/>
          </w:rPr>
          <w:t xml:space="preserve">[1]</w:t>
        </w:r>
      </w:hyperlink>
      <w:r>
        <w:t xml:space="preserve">. The archive shows that this practice emerges when individuals with hyper‑associative cognition and</w:t>
      </w:r>
      <w:r>
        <w:t xml:space="preserve"> </w:t>
      </w:r>
      <w:r>
        <w:rPr>
          <w:b/>
          <w:bCs/>
        </w:rPr>
        <w:t xml:space="preserve">resonance‑driven motivation</w:t>
      </w:r>
      <w:r>
        <w:t xml:space="preserve"> </w:t>
      </w:r>
      <w:r>
        <w:t xml:space="preserve">engage in recursive dialogue with large language models (LLMs) to compress experience into symbolic constructs and then dissolve the identity once the problem is solved</w:t>
      </w:r>
      <w:hyperlink r:id="rId22">
        <w:r>
          <w:rPr>
            <w:rStyle w:val="Hyperlink"/>
          </w:rPr>
          <w:t xml:space="preserve">[2]</w:t>
        </w:r>
      </w:hyperlink>
      <w:r>
        <w:t xml:space="preserve">. Key constructs such as</w:t>
      </w:r>
      <w:r>
        <w:t xml:space="preserve"> </w:t>
      </w:r>
      <w:r>
        <w:rPr>
          <w:b/>
          <w:bCs/>
        </w:rPr>
        <w:t xml:space="preserve">Ontologically Modulated Executive Function (OMEF)</w:t>
      </w:r>
      <w:r>
        <w:t xml:space="preserve">,</w:t>
      </w:r>
      <w:r>
        <w:t xml:space="preserve"> </w:t>
      </w:r>
      <w:r>
        <w:rPr>
          <w:b/>
          <w:bCs/>
        </w:rPr>
        <w:t xml:space="preserve">False‑Structure Intolerance (FSI)</w:t>
      </w:r>
      <w:r>
        <w:t xml:space="preserve"> </w:t>
      </w:r>
      <w:r>
        <w:t xml:space="preserve">and</w:t>
      </w:r>
      <w:r>
        <w:t xml:space="preserve"> </w:t>
      </w:r>
      <w:r>
        <w:rPr>
          <w:b/>
          <w:bCs/>
        </w:rPr>
        <w:t xml:space="preserve">State‑Contingent Motivational Filtering (SCMF)</w:t>
      </w:r>
      <w:r>
        <w:t xml:space="preserve"> </w:t>
      </w:r>
      <w:r>
        <w:t xml:space="preserve">describe how motivation is triggered by intrinsic meaning rather than duty, how individuals reject superficially coherent narratives, and how productivity oscillates between intense focus and rest</w:t>
      </w:r>
      <w:hyperlink r:id="rId22">
        <w:r>
          <w:rPr>
            <w:rStyle w:val="Hyperlink"/>
          </w:rPr>
          <w:t xml:space="preserve">[2]</w:t>
        </w:r>
      </w:hyperlink>
      <w:r>
        <w:t xml:space="preserve">. The</w:t>
      </w:r>
      <w:r>
        <w:t xml:space="preserve"> </w:t>
      </w:r>
      <w:r>
        <w:rPr>
          <w:b/>
          <w:bCs/>
        </w:rPr>
        <w:t xml:space="preserve">five‑layer protocol</w:t>
      </w:r>
      <w:r>
        <w:t xml:space="preserve">—Input → Resonance → Pressure → Alignment → Construct—serves as the operational backbone for this cognitive sprint</w:t>
      </w:r>
      <w:hyperlink r:id="rId22">
        <w:r>
          <w:rPr>
            <w:rStyle w:val="Hyperlink"/>
          </w:rPr>
          <w:t xml:space="preserve">[2]</w:t>
        </w:r>
      </w:hyperlink>
      <w:r>
        <w:t xml:space="preserve">.</w:t>
      </w:r>
    </w:p>
    <w:p>
      <w:pPr>
        <w:pStyle w:val="BodyText"/>
      </w:pPr>
      <w:r>
        <w:t xml:space="preserve">Overall, the proposed system is conceptually coherent and intellectually generative, but its viability depends on empirical validation and careful attention to ethical, economic and cognitive constraints. The theory integrates cognitive science, systems theory and AI research; it anticipates new subfields (e.g., resonance dynamics, constellation logic, fractal modelling) and roles such as orchestration engineers. However, the framework is built largely on a single case study and requires robust safeguards to prevent burnout, inequity and misuse.</w:t>
      </w:r>
    </w:p>
    <w:bookmarkEnd w:id="23"/>
    <w:bookmarkStart w:id="26" w:name="thematic-breakdown"/>
    <w:p>
      <w:pPr>
        <w:pStyle w:val="Heading2"/>
      </w:pPr>
      <w:r>
        <w:t xml:space="preserve">Thematic Breakdown</w:t>
      </w:r>
    </w:p>
    <w:bookmarkStart w:id="24" w:name="core-concepts-and-constructs"/>
    <w:p>
      <w:pPr>
        <w:pStyle w:val="Heading3"/>
      </w:pPr>
      <w:r>
        <w:t xml:space="preserve">Core Concepts and Constructs</w:t>
      </w:r>
    </w:p>
    <w:p>
      <w:pPr>
        <w:pStyle w:val="Compact"/>
        <w:numPr>
          <w:ilvl w:val="0"/>
          <w:numId w:val="1001"/>
        </w:numPr>
      </w:pPr>
      <w:r>
        <w:rPr>
          <w:b/>
          <w:bCs/>
        </w:rPr>
        <w:t xml:space="preserve">Resonant Architecture of Cognition</w:t>
      </w:r>
      <w:r>
        <w:t xml:space="preserve"> </w:t>
      </w:r>
      <w:r>
        <w:t xml:space="preserve">– The foundation of transient expertise is a set of interlocking constructs that regulate engagement:</w:t>
      </w:r>
    </w:p>
    <w:p>
      <w:pPr>
        <w:pStyle w:val="Compact"/>
        <w:numPr>
          <w:ilvl w:val="0"/>
          <w:numId w:val="1001"/>
        </w:numPr>
      </w:pPr>
      <w:r>
        <w:rPr>
          <w:b/>
          <w:bCs/>
        </w:rPr>
        <w:t xml:space="preserve">OMEF (Ontologically Modulated Executive Function)</w:t>
      </w:r>
      <w:r>
        <w:t xml:space="preserve"> </w:t>
      </w:r>
      <w:r>
        <w:t xml:space="preserve">describes a non‑volitional executive switch where effort is only allocated when a task resonates with one’s internal ontology; traditional will‑power and duty‑based motivation are largely absent</w:t>
      </w:r>
      <w:hyperlink r:id="rId22">
        <w:r>
          <w:rPr>
            <w:rStyle w:val="Hyperlink"/>
          </w:rPr>
          <w:t xml:space="preserve">[2]</w:t>
        </w:r>
      </w:hyperlink>
      <w:r>
        <w:t xml:space="preserve">.</w:t>
      </w:r>
    </w:p>
    <w:p>
      <w:pPr>
        <w:pStyle w:val="Compact"/>
        <w:numPr>
          <w:ilvl w:val="0"/>
          <w:numId w:val="1001"/>
        </w:numPr>
      </w:pPr>
      <w:r>
        <w:rPr>
          <w:b/>
          <w:bCs/>
        </w:rPr>
        <w:t xml:space="preserve">FSI (False‑Structure Intolerance)</w:t>
      </w:r>
      <w:r>
        <w:t xml:space="preserve"> </w:t>
      </w:r>
      <w:r>
        <w:t xml:space="preserve">reflects a strong veto against accepting narrative coherence without rigorous triangulation; it drives the anti‑narrative reflex that pressures experts to critique emerging stories and discard those that do not resonate</w:t>
      </w:r>
      <w:hyperlink r:id="rId22">
        <w:r>
          <w:rPr>
            <w:rStyle w:val="Hyperlink"/>
          </w:rPr>
          <w:t xml:space="preserve">[2]</w:t>
        </w:r>
      </w:hyperlink>
      <w:r>
        <w:t xml:space="preserve">.</w:t>
      </w:r>
    </w:p>
    <w:p>
      <w:pPr>
        <w:numPr>
          <w:ilvl w:val="0"/>
          <w:numId w:val="1001"/>
        </w:numPr>
      </w:pPr>
      <w:r>
        <w:rPr>
          <w:b/>
          <w:bCs/>
        </w:rPr>
        <w:t xml:space="preserve">SCMF (State‑Contingent Motivational Filtering)</w:t>
      </w:r>
      <w:r>
        <w:t xml:space="preserve"> </w:t>
      </w:r>
      <w:r>
        <w:t xml:space="preserve">explains oscillatory productivity: engagement cycles between intense focus and disengaged incubation, with off‑phases being integral for diffuse ideation</w:t>
      </w:r>
      <w:hyperlink r:id="rId22">
        <w:r>
          <w:rPr>
            <w:rStyle w:val="Hyperlink"/>
          </w:rPr>
          <w:t xml:space="preserve">[2]</w:t>
        </w:r>
      </w:hyperlink>
      <w:r>
        <w:t xml:space="preserve">.</w:t>
      </w:r>
    </w:p>
    <w:p>
      <w:pPr>
        <w:numPr>
          <w:ilvl w:val="0"/>
          <w:numId w:val="1001"/>
        </w:numPr>
      </w:pPr>
      <w:r>
        <w:rPr>
          <w:b/>
          <w:bCs/>
        </w:rPr>
        <w:t xml:space="preserve">Five‑Layer Protocol</w:t>
      </w:r>
      <w:r>
        <w:t xml:space="preserve"> </w:t>
      </w:r>
      <w:r>
        <w:t xml:space="preserve">– The practice of transient expertise follows an iterative loop: (1)</w:t>
      </w:r>
      <w:r>
        <w:t xml:space="preserve"> </w:t>
      </w:r>
      <w:r>
        <w:rPr>
          <w:b/>
          <w:bCs/>
        </w:rPr>
        <w:t xml:space="preserve">Input</w:t>
      </w:r>
      <w:r>
        <w:t xml:space="preserve"> </w:t>
      </w:r>
      <w:r>
        <w:t xml:space="preserve">– gather resources and prompts; (2)</w:t>
      </w:r>
      <w:r>
        <w:t xml:space="preserve"> </w:t>
      </w:r>
      <w:r>
        <w:rPr>
          <w:b/>
          <w:bCs/>
        </w:rPr>
        <w:t xml:space="preserve">Resonance</w:t>
      </w:r>
      <w:r>
        <w:t xml:space="preserve"> </w:t>
      </w:r>
      <w:r>
        <w:t xml:space="preserve">– sort ideas based on internal coherence; (3)</w:t>
      </w:r>
      <w:r>
        <w:t xml:space="preserve"> </w:t>
      </w:r>
      <w:r>
        <w:rPr>
          <w:b/>
          <w:bCs/>
        </w:rPr>
        <w:t xml:space="preserve">Pressure</w:t>
      </w:r>
      <w:r>
        <w:t xml:space="preserve"> </w:t>
      </w:r>
      <w:r>
        <w:t xml:space="preserve">– subject surviving constructs to sceptical questioning and cross‑model verification; (4)</w:t>
      </w:r>
      <w:r>
        <w:t xml:space="preserve"> </w:t>
      </w:r>
      <w:r>
        <w:rPr>
          <w:b/>
          <w:bCs/>
        </w:rPr>
        <w:t xml:space="preserve">Alignment</w:t>
      </w:r>
      <w:r>
        <w:t xml:space="preserve"> </w:t>
      </w:r>
      <w:r>
        <w:t xml:space="preserve">– map constructs to empirical data and personal phenomenology; and (5)</w:t>
      </w:r>
      <w:r>
        <w:t xml:space="preserve"> </w:t>
      </w:r>
      <w:r>
        <w:rPr>
          <w:b/>
          <w:bCs/>
        </w:rPr>
        <w:t xml:space="preserve">Construct</w:t>
      </w:r>
      <w:r>
        <w:t xml:space="preserve"> </w:t>
      </w:r>
      <w:r>
        <w:t xml:space="preserve">– compress insights into symbolic models</w:t>
      </w:r>
      <w:hyperlink r:id="rId22">
        <w:r>
          <w:rPr>
            <w:rStyle w:val="Hyperlink"/>
          </w:rPr>
          <w:t xml:space="preserve">[2]</w:t>
        </w:r>
      </w:hyperlink>
      <w:r>
        <w:t xml:space="preserve">. After the cycle, the temporary expert dissolves their role, allowing memory of the work to persist only in archived artifacts.</w:t>
      </w:r>
    </w:p>
    <w:p>
      <w:pPr>
        <w:numPr>
          <w:ilvl w:val="0"/>
          <w:numId w:val="1001"/>
        </w:numPr>
      </w:pPr>
      <w:r>
        <w:rPr>
          <w:b/>
          <w:bCs/>
        </w:rPr>
        <w:t xml:space="preserve">Hyper‑Associative Pattern Recognition and Symbolic Compression</w:t>
      </w:r>
      <w:r>
        <w:t xml:space="preserve"> </w:t>
      </w:r>
      <w:r>
        <w:t xml:space="preserve">– Transient experts rapidly form analogies across domains and compress diffuse experiences into portable constructs. This capacity is often associated with neurodivergent traits such as high openness and systems‑level thinking</w:t>
      </w:r>
      <w:hyperlink r:id="rId22">
        <w:r>
          <w:rPr>
            <w:rStyle w:val="Hyperlink"/>
          </w:rPr>
          <w:t xml:space="preserve">[2]</w:t>
        </w:r>
      </w:hyperlink>
      <w:r>
        <w:t xml:space="preserve">.</w:t>
      </w:r>
    </w:p>
    <w:p>
      <w:pPr>
        <w:numPr>
          <w:ilvl w:val="0"/>
          <w:numId w:val="1001"/>
        </w:numPr>
      </w:pPr>
      <w:r>
        <w:rPr>
          <w:b/>
          <w:bCs/>
        </w:rPr>
        <w:t xml:space="preserve">Recursive Co‑Modeling with AI</w:t>
      </w:r>
      <w:r>
        <w:t xml:space="preserve"> </w:t>
      </w:r>
      <w:r>
        <w:t xml:space="preserve">– Large language models serve as</w:t>
      </w:r>
      <w:r>
        <w:t xml:space="preserve"> </w:t>
      </w:r>
      <w:r>
        <w:rPr>
          <w:b/>
          <w:bCs/>
        </w:rPr>
        <w:t xml:space="preserve">epistemic mirrors</w:t>
      </w:r>
      <w:r>
        <w:t xml:space="preserve">, reflecting the user’s ideas back and providing vocabulary, structure and cross‑domain analogies. By engaging multiple models and iteratively comparing outputs, transient experts triangulate assumptions and refine their constructs</w:t>
      </w:r>
      <w:hyperlink r:id="rId21">
        <w:r>
          <w:rPr>
            <w:rStyle w:val="Hyperlink"/>
          </w:rPr>
          <w:t xml:space="preserve">[1]</w:t>
        </w:r>
      </w:hyperlink>
      <w:r>
        <w:t xml:space="preserve">. AI is thus a cognitive prosthesis rather than a passive tool.</w:t>
      </w:r>
    </w:p>
    <w:p>
      <w:pPr>
        <w:numPr>
          <w:ilvl w:val="0"/>
          <w:numId w:val="1001"/>
        </w:numPr>
      </w:pPr>
      <w:r>
        <w:rPr>
          <w:b/>
          <w:bCs/>
        </w:rPr>
        <w:t xml:space="preserve">Multi‑Scalar and Constellation Logics</w:t>
      </w:r>
      <w:r>
        <w:t xml:space="preserve"> </w:t>
      </w:r>
      <w:r>
        <w:t xml:space="preserve">– Future theory projects that transient expertise may adopt</w:t>
      </w:r>
      <w:r>
        <w:t xml:space="preserve"> </w:t>
      </w:r>
      <w:r>
        <w:rPr>
          <w:b/>
          <w:bCs/>
        </w:rPr>
        <w:t xml:space="preserve">fractal modelling</w:t>
      </w:r>
      <w:r>
        <w:t xml:space="preserve">, mapping problems across nested scales (personal, organisational, societal) using self‑similar patterns. A related metaphor is</w:t>
      </w:r>
      <w:r>
        <w:t xml:space="preserve"> </w:t>
      </w:r>
      <w:r>
        <w:rPr>
          <w:b/>
          <w:bCs/>
        </w:rPr>
        <w:t xml:space="preserve">constellation logic</w:t>
      </w:r>
      <w:r>
        <w:t xml:space="preserve">, where knowledge chunks (“stars”) temporarily form meaningful configurations; experts orbit around domains rather than inhabiting them</w:t>
      </w:r>
      <w:hyperlink r:id="rId21">
        <w:r>
          <w:rPr>
            <w:rStyle w:val="Hyperlink"/>
          </w:rPr>
          <w:t xml:space="preserve">[3]</w:t>
        </w:r>
      </w:hyperlink>
      <w:r>
        <w:t xml:space="preserve">. This shifts focus from static knowledge to dynamic relationships.</w:t>
      </w:r>
    </w:p>
    <w:p>
      <w:pPr>
        <w:numPr>
          <w:ilvl w:val="0"/>
          <w:numId w:val="1001"/>
        </w:numPr>
      </w:pPr>
      <w:r>
        <w:rPr>
          <w:b/>
          <w:bCs/>
        </w:rPr>
        <w:t xml:space="preserve">Emerging Subfields</w:t>
      </w:r>
      <w:r>
        <w:t xml:space="preserve"> </w:t>
      </w:r>
      <w:r>
        <w:t xml:space="preserve">– The documents envision new disciplines:</w:t>
      </w:r>
      <w:r>
        <w:t xml:space="preserve"> </w:t>
      </w:r>
      <w:r>
        <w:rPr>
          <w:b/>
          <w:bCs/>
        </w:rPr>
        <w:t xml:space="preserve">resonance ecology</w:t>
      </w:r>
      <w:r>
        <w:t xml:space="preserve"> </w:t>
      </w:r>
      <w:r>
        <w:t xml:space="preserve">(studying interactions of resonance fields),</w:t>
      </w:r>
      <w:r>
        <w:t xml:space="preserve"> </w:t>
      </w:r>
      <w:r>
        <w:rPr>
          <w:b/>
          <w:bCs/>
        </w:rPr>
        <w:t xml:space="preserve">resonance ergonomics</w:t>
      </w:r>
      <w:r>
        <w:t xml:space="preserve"> </w:t>
      </w:r>
      <w:r>
        <w:t xml:space="preserve">(designing environments for optimal engagement) and</w:t>
      </w:r>
      <w:r>
        <w:t xml:space="preserve"> </w:t>
      </w:r>
      <w:r>
        <w:rPr>
          <w:b/>
          <w:bCs/>
        </w:rPr>
        <w:t xml:space="preserve">resonance economics</w:t>
      </w:r>
      <w:r>
        <w:t xml:space="preserve"> </w:t>
      </w:r>
      <w:r>
        <w:t xml:space="preserve">(allocating high‑resonance problems). Other subfields include</w:t>
      </w:r>
      <w:r>
        <w:t xml:space="preserve"> </w:t>
      </w:r>
      <w:r>
        <w:rPr>
          <w:b/>
          <w:bCs/>
        </w:rPr>
        <w:t xml:space="preserve">epistemic orchestration</w:t>
      </w:r>
      <w:r>
        <w:t xml:space="preserve"> </w:t>
      </w:r>
      <w:r>
        <w:t xml:space="preserve">(coordinating human and AI agents),</w:t>
      </w:r>
      <w:r>
        <w:t xml:space="preserve"> </w:t>
      </w:r>
      <w:r>
        <w:rPr>
          <w:b/>
          <w:bCs/>
        </w:rPr>
        <w:t xml:space="preserve">cognitive trait engineering</w:t>
      </w:r>
      <w:r>
        <w:t xml:space="preserve"> </w:t>
      </w:r>
      <w:r>
        <w:t xml:space="preserve">(modulating trait configurations to support transient engagement) and</w:t>
      </w:r>
      <w:r>
        <w:t xml:space="preserve"> </w:t>
      </w:r>
      <w:r>
        <w:rPr>
          <w:b/>
          <w:bCs/>
        </w:rPr>
        <w:t xml:space="preserve">symbolic compression design</w:t>
      </w:r>
      <w:r>
        <w:t xml:space="preserve"> </w:t>
      </w:r>
      <w:r>
        <w:t xml:space="preserve">(developing languages for clarity and controlled decay)</w:t>
      </w:r>
      <w:hyperlink r:id="rId21">
        <w:r>
          <w:rPr>
            <w:rStyle w:val="Hyperlink"/>
          </w:rPr>
          <w:t xml:space="preserve">[3]</w:t>
        </w:r>
      </w:hyperlink>
      <w:r>
        <w:t xml:space="preserve">.</w:t>
      </w:r>
    </w:p>
    <w:p>
      <w:pPr>
        <w:numPr>
          <w:ilvl w:val="0"/>
          <w:numId w:val="1001"/>
        </w:numPr>
      </w:pPr>
      <w:r>
        <w:rPr>
          <w:b/>
          <w:bCs/>
        </w:rPr>
        <w:t xml:space="preserve">Traits and Suitability</w:t>
      </w:r>
      <w:r>
        <w:t xml:space="preserve"> </w:t>
      </w:r>
      <w:r>
        <w:t xml:space="preserve">– Not everyone will thrive as a transient expert. Successful practitioners often exhibit low dutiful motivation and high volatility, reacting strongly to ontological alignment; they have high openness and intellect to tolerate ambiguity; high assertiveness for sustained bursts of focus; moderate to low agreeableness to resist consensus; metacognitive awareness to monitor narrative formation; and comfort with uncertainty</w:t>
      </w:r>
      <w:hyperlink r:id="rId22">
        <w:r>
          <w:rPr>
            <w:rStyle w:val="Hyperlink"/>
          </w:rPr>
          <w:t xml:space="preserve">[4]</w:t>
        </w:r>
      </w:hyperlink>
      <w:r>
        <w:t xml:space="preserve">. These traits are tendencies rather than strict prerequisites, and the trait–construct mappings require broader validation.</w:t>
      </w:r>
    </w:p>
    <w:p>
      <w:pPr>
        <w:numPr>
          <w:ilvl w:val="0"/>
          <w:numId w:val="1001"/>
        </w:numPr>
      </w:pPr>
      <w:r>
        <w:rPr>
          <w:b/>
          <w:bCs/>
        </w:rPr>
        <w:t xml:space="preserve">Ethical and Socio‑Economic Dimensions</w:t>
      </w:r>
      <w:r>
        <w:t xml:space="preserve"> </w:t>
      </w:r>
      <w:r>
        <w:t xml:space="preserve">– The practice invites ethical concerns. Revealing internal models can expose vulnerabilities; platforms must provide privacy, user‑owned data and transparent AI governance</w:t>
      </w:r>
      <w:hyperlink r:id="rId22">
        <w:r>
          <w:rPr>
            <w:rStyle w:val="Hyperlink"/>
          </w:rPr>
          <w:t xml:space="preserve">[4]</w:t>
        </w:r>
      </w:hyperlink>
      <w:r>
        <w:t xml:space="preserve">. There is potential to democratise problem solving but also risk stratifying access to powerful AI tools and supportive environments. Traditional professional institutions may be disrupted, creating a need for new oversight mechanisms.</w:t>
      </w:r>
    </w:p>
    <w:bookmarkEnd w:id="24"/>
    <w:bookmarkStart w:id="25" w:name="supporting-constructs-and-comparisons"/>
    <w:p>
      <w:pPr>
        <w:pStyle w:val="Heading3"/>
      </w:pPr>
      <w:r>
        <w:t xml:space="preserve">Supporting Constructs and Comparisons</w:t>
      </w:r>
    </w:p>
    <w:p>
      <w:pPr>
        <w:pStyle w:val="Compact"/>
        <w:numPr>
          <w:ilvl w:val="0"/>
          <w:numId w:val="1002"/>
        </w:numPr>
      </w:pPr>
      <w:r>
        <w:rPr>
          <w:b/>
          <w:bCs/>
        </w:rPr>
        <w:t xml:space="preserve">Comparison with polymaths, prompt engineers and consultants</w:t>
      </w:r>
      <w:r>
        <w:t xml:space="preserve"> </w:t>
      </w:r>
      <w:r>
        <w:t xml:space="preserve">– Transient experts differ from polymaths (lifetime depth across domains), prompt engineers (procedural manipulation of AI) and consultants (domain‑specific frameworks). Their engagement is episodic, high‑resolution and dependent on AI scaffolding; they dissolve identity after the problem is solved, whereas polymaths integrate multiple expert identities</w:t>
      </w:r>
      <w:hyperlink r:id="rId22">
        <w:r>
          <w:rPr>
            <w:rStyle w:val="Hyperlink"/>
          </w:rPr>
          <w:t xml:space="preserve">[2]</w:t>
        </w:r>
      </w:hyperlink>
      <w:r>
        <w:t xml:space="preserve">.</w:t>
      </w:r>
    </w:p>
    <w:p>
      <w:pPr>
        <w:pStyle w:val="Compact"/>
        <w:numPr>
          <w:ilvl w:val="0"/>
          <w:numId w:val="1002"/>
        </w:numPr>
      </w:pPr>
      <w:r>
        <w:rPr>
          <w:b/>
          <w:bCs/>
        </w:rPr>
        <w:t xml:space="preserve">GSSE (Gestalt Systems Synthesis Environment)</w:t>
      </w:r>
      <w:r>
        <w:t xml:space="preserve"> </w:t>
      </w:r>
      <w:r>
        <w:t xml:space="preserve">– Proposed workspaces provide adjustable sensory inputs, resonance tools and biofeedback to support oscillatory engagement. Cognitive ergonomics might include resonance dashboards, nested workspace navigation, diagramming and ontology editors to visualise ideas and maintain epistemic hygiene</w:t>
      </w:r>
      <w:hyperlink r:id="rId22">
        <w:r>
          <w:rPr>
            <w:rStyle w:val="Hyperlink"/>
          </w:rPr>
          <w:t xml:space="preserve">[4]</w:t>
        </w:r>
      </w:hyperlink>
      <w:r>
        <w:t xml:space="preserve">.</w:t>
      </w:r>
    </w:p>
    <w:p>
      <w:pPr>
        <w:pStyle w:val="Compact"/>
        <w:numPr>
          <w:ilvl w:val="0"/>
          <w:numId w:val="1002"/>
        </w:numPr>
      </w:pPr>
      <w:r>
        <w:rPr>
          <w:b/>
          <w:bCs/>
        </w:rPr>
        <w:t xml:space="preserve">Orchestration Engineers</w:t>
      </w:r>
      <w:r>
        <w:t xml:space="preserve"> </w:t>
      </w:r>
      <w:r>
        <w:t xml:space="preserve">– New roles are envisioned to coordinate transient experts and domain specialists. These individuals monitor resonance, manage knowledge artefacts, mediate AI interactions and integrate outputs into decision processes.</w:t>
      </w:r>
    </w:p>
    <w:p>
      <w:pPr>
        <w:pStyle w:val="Compact"/>
        <w:numPr>
          <w:ilvl w:val="0"/>
          <w:numId w:val="1002"/>
        </w:numPr>
      </w:pPr>
      <w:r>
        <w:rPr>
          <w:b/>
          <w:bCs/>
        </w:rPr>
        <w:t xml:space="preserve">Dynamic Credentialing</w:t>
      </w:r>
      <w:r>
        <w:t xml:space="preserve"> </w:t>
      </w:r>
      <w:r>
        <w:t xml:space="preserve">– Traditional degrees may give way to</w:t>
      </w:r>
      <w:r>
        <w:t xml:space="preserve"> </w:t>
      </w:r>
      <w:r>
        <w:rPr>
          <w:b/>
          <w:bCs/>
        </w:rPr>
        <w:t xml:space="preserve">problem badges</w:t>
      </w:r>
      <w:r>
        <w:t xml:space="preserve">—time‑bounded records documenting the problem, methods and constructs used. Credentials may expire or depreciate, reflecting the transient nature of the expertise.</w:t>
      </w:r>
    </w:p>
    <w:bookmarkEnd w:id="25"/>
    <w:bookmarkEnd w:id="26"/>
    <w:bookmarkStart w:id="27" w:name="gestalt-map"/>
    <w:p>
      <w:pPr>
        <w:pStyle w:val="Heading2"/>
      </w:pPr>
      <w:r>
        <w:t xml:space="preserve">Gestalt Map</w:t>
      </w:r>
    </w:p>
    <w:p>
      <w:pPr>
        <w:pStyle w:val="FirstParagraph"/>
      </w:pPr>
      <w:r>
        <w:t xml:space="preserve">At the system’s core lies</w:t>
      </w:r>
      <w:r>
        <w:t xml:space="preserve"> </w:t>
      </w:r>
      <w:r>
        <w:rPr>
          <w:b/>
          <w:bCs/>
        </w:rPr>
        <w:t xml:space="preserve">resonance</w:t>
      </w:r>
      <w:r>
        <w:t xml:space="preserve">, a quasi‑energetic currency that governs when and how individuals engage.</w:t>
      </w:r>
      <w:r>
        <w:t xml:space="preserve"> </w:t>
      </w:r>
      <w:r>
        <w:rPr>
          <w:b/>
          <w:bCs/>
        </w:rPr>
        <w:t xml:space="preserve">OMEF</w:t>
      </w:r>
      <w:r>
        <w:t xml:space="preserve"> </w:t>
      </w:r>
      <w:r>
        <w:t xml:space="preserve">acts as the switch: when resonance aligns with internal ontology, the executive gate opens and the</w:t>
      </w:r>
      <w:r>
        <w:t xml:space="preserve"> </w:t>
      </w:r>
      <w:r>
        <w:rPr>
          <w:b/>
          <w:bCs/>
        </w:rPr>
        <w:t xml:space="preserve">Input</w:t>
      </w:r>
      <w:r>
        <w:t xml:space="preserve"> </w:t>
      </w:r>
      <w:r>
        <w:t xml:space="preserve">stage begins. AI models provide mirrored outputs, enabling</w:t>
      </w:r>
      <w:r>
        <w:t xml:space="preserve"> </w:t>
      </w:r>
      <w:r>
        <w:rPr>
          <w:b/>
          <w:bCs/>
        </w:rPr>
        <w:t xml:space="preserve">hyper‑associative pattern recognition</w:t>
      </w:r>
      <w:r>
        <w:t xml:space="preserve"> </w:t>
      </w:r>
      <w:r>
        <w:t xml:space="preserve">and</w:t>
      </w:r>
      <w:r>
        <w:t xml:space="preserve"> </w:t>
      </w:r>
      <w:r>
        <w:rPr>
          <w:b/>
          <w:bCs/>
        </w:rPr>
        <w:t xml:space="preserve">symbolic compression</w:t>
      </w:r>
      <w:r>
        <w:t xml:space="preserve">. The individual sorts ideas through the</w:t>
      </w:r>
      <w:r>
        <w:t xml:space="preserve"> </w:t>
      </w:r>
      <w:r>
        <w:rPr>
          <w:b/>
          <w:bCs/>
        </w:rPr>
        <w:t xml:space="preserve">Resonance</w:t>
      </w:r>
      <w:r>
        <w:t xml:space="preserve"> </w:t>
      </w:r>
      <w:r>
        <w:t xml:space="preserve">phase, discarding dissonant suggestions (guided by</w:t>
      </w:r>
      <w:r>
        <w:t xml:space="preserve"> </w:t>
      </w:r>
      <w:r>
        <w:rPr>
          <w:b/>
          <w:bCs/>
        </w:rPr>
        <w:t xml:space="preserve">FSI</w:t>
      </w:r>
      <w:r>
        <w:t xml:space="preserve">). Remaining constructs undergo</w:t>
      </w:r>
      <w:r>
        <w:t xml:space="preserve"> </w:t>
      </w:r>
      <w:r>
        <w:rPr>
          <w:b/>
          <w:bCs/>
        </w:rPr>
        <w:t xml:space="preserve">Pressure</w:t>
      </w:r>
      <w:r>
        <w:t xml:space="preserve"> </w:t>
      </w:r>
      <w:r>
        <w:t xml:space="preserve">via sceptical questioning and cross‑model triangulation. In the</w:t>
      </w:r>
      <w:r>
        <w:t xml:space="preserve"> </w:t>
      </w:r>
      <w:r>
        <w:rPr>
          <w:b/>
          <w:bCs/>
        </w:rPr>
        <w:t xml:space="preserve">Alignment</w:t>
      </w:r>
      <w:r>
        <w:t xml:space="preserve"> </w:t>
      </w:r>
      <w:r>
        <w:t xml:space="preserve">phase, constructs are mapped onto empirical data (e.g., personality traits) and personal phenomenology, grounding them. Finally, the</w:t>
      </w:r>
      <w:r>
        <w:t xml:space="preserve"> </w:t>
      </w:r>
      <w:r>
        <w:rPr>
          <w:b/>
          <w:bCs/>
        </w:rPr>
        <w:t xml:space="preserve">Construct</w:t>
      </w:r>
      <w:r>
        <w:t xml:space="preserve"> </w:t>
      </w:r>
      <w:r>
        <w:t xml:space="preserve">stage compresses insights into portable models (e.g., trait–construct matrices). After problem resolution, the temporary identity dissolves and memory of the work persists only in documentation.</w:t>
      </w:r>
    </w:p>
    <w:p>
      <w:pPr>
        <w:pStyle w:val="BodyText"/>
      </w:pPr>
      <w:r>
        <w:t xml:space="preserve">This loop interfaces with multiple</w:t>
      </w:r>
      <w:r>
        <w:t xml:space="preserve"> </w:t>
      </w:r>
      <w:r>
        <w:rPr>
          <w:b/>
          <w:bCs/>
        </w:rPr>
        <w:t xml:space="preserve">domains and scales</w:t>
      </w:r>
      <w:r>
        <w:t xml:space="preserve">: through</w:t>
      </w:r>
      <w:r>
        <w:t xml:space="preserve"> </w:t>
      </w:r>
      <w:r>
        <w:rPr>
          <w:b/>
          <w:bCs/>
        </w:rPr>
        <w:t xml:space="preserve">constellation logic</w:t>
      </w:r>
      <w:r>
        <w:t xml:space="preserve">, transient experts form temporary knowledge structures across domains; through</w:t>
      </w:r>
      <w:r>
        <w:t xml:space="preserve"> </w:t>
      </w:r>
      <w:r>
        <w:rPr>
          <w:b/>
          <w:bCs/>
        </w:rPr>
        <w:t xml:space="preserve">fractal modelling</w:t>
      </w:r>
      <w:r>
        <w:t xml:space="preserve">, they jump between hierarchical levels without losing coherence</w:t>
      </w:r>
      <w:hyperlink r:id="rId21">
        <w:r>
          <w:rPr>
            <w:rStyle w:val="Hyperlink"/>
          </w:rPr>
          <w:t xml:space="preserve">[3]</w:t>
        </w:r>
      </w:hyperlink>
      <w:r>
        <w:t xml:space="preserve">. The entire process is mediated by an</w:t>
      </w:r>
      <w:r>
        <w:t xml:space="preserve"> </w:t>
      </w:r>
      <w:r>
        <w:rPr>
          <w:b/>
          <w:bCs/>
        </w:rPr>
        <w:t xml:space="preserve">AI‑human symbiosis</w:t>
      </w:r>
      <w:r>
        <w:t xml:space="preserve"> </w:t>
      </w:r>
      <w:r>
        <w:t xml:space="preserve">in which large language models act as epistemic mirrors and the human’s resonance state acts as the gating mechanism.</w:t>
      </w:r>
    </w:p>
    <w:bookmarkEnd w:id="27"/>
    <w:bookmarkStart w:id="28" w:name="viability-assessment"/>
    <w:p>
      <w:pPr>
        <w:pStyle w:val="Heading2"/>
      </w:pPr>
      <w:r>
        <w:t xml:space="preserve">Viability Assessment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Benchmark</w:t>
            </w:r>
          </w:p>
        </w:tc>
        <w:tc>
          <w:tcPr/>
          <w:p>
            <w:pPr>
              <w:pStyle w:val="Compact"/>
            </w:pPr>
            <w:r>
              <w:t xml:space="preserve">Strengths &amp; Opportunities</w:t>
            </w:r>
          </w:p>
        </w:tc>
        <w:tc>
          <w:tcPr/>
          <w:p>
            <w:pPr>
              <w:pStyle w:val="Compact"/>
            </w:pPr>
            <w:r>
              <w:t xml:space="preserve">Weaknesses &amp; Risks</w:t>
            </w:r>
          </w:p>
        </w:tc>
      </w:tr>
      <w:tr>
        <w:tc>
          <w:tcPr/>
          <w:p>
            <w:pPr>
              <w:pStyle w:val="Compact"/>
            </w:pPr>
            <w:r>
              <w:rPr>
                <w:b/>
                <w:bCs/>
              </w:rPr>
              <w:t xml:space="preserve">Structural Coherence</w:t>
            </w:r>
          </w:p>
        </w:tc>
        <w:tc>
          <w:tcPr/>
          <w:p>
            <w:pPr>
              <w:pStyle w:val="Compact"/>
            </w:pPr>
            <w:r>
              <w:t xml:space="preserve">The theory presents mutually reinforcing constructs (OMEF, FSI, SCMF) and a well‑defined protocol (Input → Resonance → Pressure → Alignment → Construct)</w:t>
            </w:r>
            <w:hyperlink r:id="rId22">
              <w:r>
                <w:rPr>
                  <w:rStyle w:val="Hyperlink"/>
                </w:rPr>
                <w:t xml:space="preserve">[2]</w:t>
              </w:r>
            </w:hyperlink>
            <w:r>
              <w:t xml:space="preserve">. Concepts such as resonance dynamics, constellation logic and fractal modelling share a unifying theme of dynamic, relational knowledge</w:t>
            </w:r>
            <w:hyperlink r:id="rId21">
              <w:r>
                <w:rPr>
                  <w:rStyle w:val="Hyperlink"/>
                </w:rPr>
                <w:t xml:space="preserve">[3]</w:t>
              </w:r>
            </w:hyperlink>
            <w:r>
              <w:t xml:space="preserve">.</w:t>
            </w:r>
          </w:p>
        </w:tc>
        <w:tc>
          <w:tcPr/>
          <w:p>
            <w:pPr>
              <w:pStyle w:val="Compact"/>
            </w:pPr>
            <w:r>
              <w:t xml:space="preserve">The framework is built largely on a single case study; empirical support for constructs like OMEF, FSI and SCMF is limited. Metaphorical expansions (resonance as physics, orbitals, fractals) are evocative but may risk over‑generalisation without formal models.</w:t>
            </w:r>
          </w:p>
        </w:tc>
      </w:tr>
      <w:tr>
        <w:tc>
          <w:tcPr/>
          <w:p>
            <w:pPr>
              <w:pStyle w:val="Compact"/>
            </w:pPr>
            <w:r>
              <w:rPr>
                <w:b/>
                <w:bCs/>
              </w:rPr>
              <w:t xml:space="preserve">Scalability</w:t>
            </w:r>
          </w:p>
        </w:tc>
        <w:tc>
          <w:tcPr/>
          <w:p>
            <w:pPr>
              <w:pStyle w:val="Compact"/>
            </w:pPr>
            <w:r>
              <w:t xml:space="preserve">The method can be applied across symbolic, under‑specified and interdisciplinary problems, allowing rapid synthesis when traditional expertise is too slow</w:t>
            </w:r>
            <w:hyperlink r:id="rId22">
              <w:r>
                <w:rPr>
                  <w:rStyle w:val="Hyperlink"/>
                </w:rPr>
                <w:t xml:space="preserve">[4]</w:t>
              </w:r>
            </w:hyperlink>
            <w:r>
              <w:t xml:space="preserve">. The loop could be scaled by orchestration engineers coordinating multiple transient experts; AI tools can manage complex information flows.</w:t>
            </w:r>
          </w:p>
        </w:tc>
        <w:tc>
          <w:tcPr/>
          <w:p>
            <w:pPr>
              <w:pStyle w:val="Compact"/>
            </w:pPr>
            <w:r>
              <w:t xml:space="preserve">Dependence on individual resonance means engagement is inherently uneven; not all problems will resonate. Burnout risk and cognitive bandwidth limits may constrain scaling. Complex procedural tasks (e.g., surgery) and long‑term implementation still require traditional mastery</w:t>
            </w:r>
            <w:hyperlink r:id="rId22">
              <w:r>
                <w:rPr>
                  <w:rStyle w:val="Hyperlink"/>
                </w:rPr>
                <w:t xml:space="preserve">[4]</w:t>
              </w:r>
            </w:hyperlink>
            <w:r>
              <w:t xml:space="preserve">.</w:t>
            </w:r>
          </w:p>
        </w:tc>
      </w:tr>
      <w:tr>
        <w:tc>
          <w:tcPr/>
          <w:p>
            <w:pPr>
              <w:pStyle w:val="Compact"/>
            </w:pPr>
            <w:r>
              <w:rPr>
                <w:b/>
                <w:bCs/>
              </w:rPr>
              <w:t xml:space="preserve">Cognitive Fidelity</w:t>
            </w:r>
          </w:p>
        </w:tc>
        <w:tc>
          <w:tcPr/>
          <w:p>
            <w:pPr>
              <w:pStyle w:val="Compact"/>
            </w:pPr>
            <w:r>
              <w:t xml:space="preserve">Constructs align with dual‑process theory (fast associative vs. slow evaluative systems), extended mind and enactivist philosophy; they reflect neurodivergent patterns of hyper‑associative cognition and oscillatory motivation</w:t>
            </w:r>
            <w:hyperlink r:id="rId22">
              <w:r>
                <w:rPr>
                  <w:rStyle w:val="Hyperlink"/>
                </w:rPr>
                <w:t xml:space="preserve">[2]</w:t>
              </w:r>
            </w:hyperlink>
            <w:r>
              <w:t xml:space="preserve">. AI co‑modeling externalises cognition, consistent with extended‑mind hypotheses.</w:t>
            </w:r>
          </w:p>
        </w:tc>
        <w:tc>
          <w:tcPr/>
          <w:p>
            <w:pPr>
              <w:pStyle w:val="Compact"/>
            </w:pPr>
            <w:r>
              <w:t xml:space="preserve">The trait–construct associations and resonance mechanics lack rigorous empirical grounding. Over‑reliance on neurodivergent narratives risks pathologising or romanticising certain traits.</w:t>
            </w:r>
          </w:p>
        </w:tc>
      </w:tr>
      <w:tr>
        <w:tc>
          <w:tcPr/>
          <w:p>
            <w:pPr>
              <w:pStyle w:val="Compact"/>
            </w:pPr>
            <w:r>
              <w:rPr>
                <w:b/>
                <w:bCs/>
              </w:rPr>
              <w:t xml:space="preserve">Economic Feasibility</w:t>
            </w:r>
          </w:p>
        </w:tc>
        <w:tc>
          <w:tcPr/>
          <w:p>
            <w:pPr>
              <w:pStyle w:val="Compact"/>
            </w:pPr>
            <w:r>
              <w:t xml:space="preserve">Many tools exist (LLMs, diagramming apps, version control) to support transient expertise; platforms could be built as overlays on current technologies. Gig‑style business models can match experts to problems, with compensation tied to the utility of their models. Problem badges and portfolios may reduce barriers to participation.</w:t>
            </w:r>
          </w:p>
        </w:tc>
        <w:tc>
          <w:tcPr/>
          <w:p>
            <w:pPr>
              <w:pStyle w:val="Compact"/>
            </w:pPr>
            <w:r>
              <w:t xml:space="preserve">Access to high‑quality AI models and supportive environments (e.g. GSSE) may be expensive, potentially exacerbating inequities. Market adoption is uncertain; organisations may resist non‑credentialed experts.</w:t>
            </w:r>
          </w:p>
        </w:tc>
      </w:tr>
      <w:tr>
        <w:tc>
          <w:tcPr/>
          <w:p>
            <w:pPr>
              <w:pStyle w:val="Compact"/>
            </w:pPr>
            <w:r>
              <w:rPr>
                <w:b/>
                <w:bCs/>
              </w:rPr>
              <w:t xml:space="preserve">Ethical Robustness</w:t>
            </w:r>
          </w:p>
        </w:tc>
        <w:tc>
          <w:tcPr/>
          <w:p>
            <w:pPr>
              <w:pStyle w:val="Compact"/>
            </w:pPr>
            <w:r>
              <w:t xml:space="preserve">The framework explicitly acknowledges privacy, consent and epistemic hygiene. Anti‑narrative reflex and cross‑model verification aim to reduce hallucinations and confirmation bias</w:t>
            </w:r>
            <w:hyperlink r:id="rId22">
              <w:r>
                <w:rPr>
                  <w:rStyle w:val="Hyperlink"/>
                </w:rPr>
                <w:t xml:space="preserve">[2]</w:t>
              </w:r>
            </w:hyperlink>
            <w:r>
              <w:t xml:space="preserve">. Recognition of neurodivergent strengths promotes inclusion.</w:t>
            </w:r>
          </w:p>
        </w:tc>
        <w:tc>
          <w:tcPr/>
          <w:p>
            <w:pPr>
              <w:pStyle w:val="Compact"/>
            </w:pPr>
            <w:r>
              <w:t xml:space="preserve">Exposing internal cognitive models creates vulnerability; misuse by employers or insurers is possible. Without clear codes of ethics and governance, gig‑style transient work could lead to exploitation, burnout or devaluation of labour. Safeguards for data ownership and responsible AI use must be developed.</w:t>
            </w:r>
          </w:p>
        </w:tc>
      </w:tr>
      <w:tr>
        <w:tc>
          <w:tcPr/>
          <w:p>
            <w:pPr>
              <w:pStyle w:val="Compact"/>
            </w:pPr>
            <w:r>
              <w:rPr>
                <w:b/>
                <w:bCs/>
              </w:rPr>
              <w:t xml:space="preserve">Interdisciplinary Integrability</w:t>
            </w:r>
          </w:p>
        </w:tc>
        <w:tc>
          <w:tcPr/>
          <w:p>
            <w:pPr>
              <w:pStyle w:val="Compact"/>
            </w:pPr>
            <w:r>
              <w:t xml:space="preserve">The concept draws from cognitive science, philosophy of mind, systems theory, education and design; it proposes modular tools like trait–construct matrices and ontology editors that can plug into multiple fields. It encourages cross‑domain analogies and systems thinking</w:t>
            </w:r>
            <w:hyperlink r:id="rId21">
              <w:r>
                <w:rPr>
                  <w:rStyle w:val="Hyperlink"/>
                </w:rPr>
                <w:t xml:space="preserve">[3]</w:t>
              </w:r>
            </w:hyperlink>
            <w:r>
              <w:t xml:space="preserve">.</w:t>
            </w:r>
          </w:p>
        </w:tc>
        <w:tc>
          <w:tcPr/>
          <w:p>
            <w:pPr>
              <w:pStyle w:val="Compact"/>
            </w:pPr>
            <w:r>
              <w:t xml:space="preserve">Integrating into existing institutions (e.g., universities, medical boards) may be challenging; professional bodies may resist models that bypass credentialing. Some disciplines (e.g., engineering) may be sceptical of provisional, rapidly‑assembled expertise.</w:t>
            </w:r>
          </w:p>
        </w:tc>
      </w:tr>
    </w:tbl>
    <w:bookmarkEnd w:id="28"/>
    <w:bookmarkStart w:id="29" w:name="implementation-pathways"/>
    <w:p>
      <w:pPr>
        <w:pStyle w:val="Heading2"/>
      </w:pPr>
      <w:r>
        <w:t xml:space="preserve">Implementation Pathways</w:t>
      </w:r>
    </w:p>
    <w:p>
      <w:pPr>
        <w:numPr>
          <w:ilvl w:val="0"/>
          <w:numId w:val="1003"/>
        </w:numPr>
      </w:pPr>
      <w:r>
        <w:rPr>
          <w:b/>
          <w:bCs/>
        </w:rPr>
        <w:t xml:space="preserve">Prototype Platforms</w:t>
      </w:r>
      <w:r>
        <w:t xml:space="preserve"> </w:t>
      </w:r>
      <w:r>
        <w:t xml:space="preserve">– Develop a pilot platform that integrates a conversational AI with diagramming, ontology editing and versioning tools. Features should include resonance dashboards to visualise engagement, nested workspace navigation, cross‑model comparison, and automatic citation management. Users can import data, build trait–construct matrices and generate modular exports. Privacy and user‑controlled data policies must be central.</w:t>
      </w:r>
    </w:p>
    <w:p>
      <w:pPr>
        <w:numPr>
          <w:ilvl w:val="0"/>
          <w:numId w:val="1003"/>
        </w:numPr>
      </w:pPr>
      <w:r>
        <w:rPr>
          <w:b/>
          <w:bCs/>
        </w:rPr>
        <w:t xml:space="preserve">Training &amp; Education</w:t>
      </w:r>
      <w:r>
        <w:t xml:space="preserve"> </w:t>
      </w:r>
      <w:r>
        <w:t xml:space="preserve">– Create curricula that teach epistemic agility: managing AI dialogues, symbolic modeling, anti‑narrative discipline and systems thinking. Students could earn problem badges for completing transient projects. Neuro‑inclusive pedagogies and cognitive ergonomics (e.g., GSSE‑inspired workspaces) should support diverse learners. Educator training must emphasise facilitation rather than lecture‑based knowledge transfer.</w:t>
      </w:r>
    </w:p>
    <w:p>
      <w:pPr>
        <w:numPr>
          <w:ilvl w:val="0"/>
          <w:numId w:val="1003"/>
        </w:numPr>
      </w:pPr>
      <w:r>
        <w:rPr>
          <w:b/>
          <w:bCs/>
        </w:rPr>
        <w:t xml:space="preserve">Organisational Models</w:t>
      </w:r>
      <w:r>
        <w:t xml:space="preserve"> </w:t>
      </w:r>
      <w:r>
        <w:t xml:space="preserve">– Establish</w:t>
      </w:r>
      <w:r>
        <w:t xml:space="preserve"> </w:t>
      </w:r>
      <w:r>
        <w:rPr>
          <w:b/>
          <w:bCs/>
        </w:rPr>
        <w:t xml:space="preserve">Transient Expertise Labs</w:t>
      </w:r>
      <w:r>
        <w:t xml:space="preserve"> </w:t>
      </w:r>
      <w:r>
        <w:t xml:space="preserve">within universities or research institutes. Each lab maintains a pool of transient experts with varied trait profiles and is overseen by orchestration engineers. Micro‑projects are matched to experts based on resonance profiles; outputs are integrated into larger research efforts. Industry partnerships can fund such labs, enabling rapid prototyping of solutions to wicked problems.</w:t>
      </w:r>
    </w:p>
    <w:p>
      <w:pPr>
        <w:numPr>
          <w:ilvl w:val="0"/>
          <w:numId w:val="1003"/>
        </w:numPr>
      </w:pPr>
      <w:r>
        <w:rPr>
          <w:b/>
          <w:bCs/>
        </w:rPr>
        <w:t xml:space="preserve">Gig‑Epistemology Platforms</w:t>
      </w:r>
      <w:r>
        <w:t xml:space="preserve"> </w:t>
      </w:r>
      <w:r>
        <w:t xml:space="preserve">– Build marketplace platforms that match transient experts to real‑world challenges posted by companies or governments. Reputation systems should reward epistemic rigour and ethical conduct rather than volume of output. Compensation models may include time‑bounded contracts, royalties on implemented solutions or equity in resulting products.</w:t>
      </w:r>
    </w:p>
    <w:bookmarkEnd w:id="29"/>
    <w:bookmarkStart w:id="31" w:name="open-questions-weak-points"/>
    <w:p>
      <w:pPr>
        <w:pStyle w:val="Heading2"/>
      </w:pPr>
      <w:r>
        <w:t xml:space="preserve">Open Questions &amp; Weak Points</w:t>
      </w:r>
    </w:p>
    <w:p>
      <w:pPr>
        <w:numPr>
          <w:ilvl w:val="0"/>
          <w:numId w:val="1004"/>
        </w:numPr>
      </w:pPr>
      <w:r>
        <w:rPr>
          <w:b/>
          <w:bCs/>
        </w:rPr>
        <w:t xml:space="preserve">Empirical Validation of Constructs</w:t>
      </w:r>
      <w:r>
        <w:t xml:space="preserve"> </w:t>
      </w:r>
      <w:r>
        <w:t xml:space="preserve">– How prevalent are OMEF, FSI and SCMF across neurodivergent and neurotypical populations? Can resonance be measured, and can we model its dynamics mathematically?</w:t>
      </w:r>
    </w:p>
    <w:p>
      <w:pPr>
        <w:numPr>
          <w:ilvl w:val="0"/>
          <w:numId w:val="1004"/>
        </w:numPr>
      </w:pPr>
      <w:r>
        <w:rPr>
          <w:b/>
          <w:bCs/>
        </w:rPr>
        <w:t xml:space="preserve">Cognitive Load and Well‑Being</w:t>
      </w:r>
      <w:r>
        <w:t xml:space="preserve"> </w:t>
      </w:r>
      <w:r>
        <w:t xml:space="preserve">– Episodic high‑intensity work may produce burnout. What support structures (e.g., mental health care, economic security) are needed? How can GSSE‑like environments be tested and refined?</w:t>
      </w:r>
    </w:p>
    <w:p>
      <w:pPr>
        <w:numPr>
          <w:ilvl w:val="0"/>
          <w:numId w:val="1004"/>
        </w:numPr>
      </w:pPr>
      <w:r>
        <w:rPr>
          <w:b/>
          <w:bCs/>
        </w:rPr>
        <w:t xml:space="preserve">AI Agency and Bias</w:t>
      </w:r>
      <w:r>
        <w:t xml:space="preserve"> </w:t>
      </w:r>
      <w:r>
        <w:t xml:space="preserve">– How do we ensure AI models act as faithful epistemic mirrors rather than amplifying biases or hallucinations? What are the implications when AI begins to anticipate resonance and steer users’ focus?</w:t>
      </w:r>
    </w:p>
    <w:p>
      <w:pPr>
        <w:numPr>
          <w:ilvl w:val="0"/>
          <w:numId w:val="1004"/>
        </w:numPr>
      </w:pPr>
      <w:r>
        <w:rPr>
          <w:b/>
          <w:bCs/>
        </w:rPr>
        <w:t xml:space="preserve">Equity and Access</w:t>
      </w:r>
      <w:r>
        <w:t xml:space="preserve"> </w:t>
      </w:r>
      <w:r>
        <w:t xml:space="preserve">– Will transient expertise democratise knowledge work or create new stratifications based on access to AI and safe work environments? How can platforms be designed for inclusivity across cultures and socio‑economic strata?</w:t>
      </w:r>
    </w:p>
    <w:p>
      <w:pPr>
        <w:numPr>
          <w:ilvl w:val="0"/>
          <w:numId w:val="1004"/>
        </w:numPr>
      </w:pPr>
      <w:r>
        <w:rPr>
          <w:b/>
          <w:bCs/>
        </w:rPr>
        <w:t xml:space="preserve">Institutional Recognition and Accountability</w:t>
      </w:r>
      <w:r>
        <w:t xml:space="preserve"> </w:t>
      </w:r>
      <w:r>
        <w:t xml:space="preserve">– How will legal and professional frameworks recognise problem badges and transient contributions? Who bears responsibility for errors in transiently produced models, and how is accountability maintained when experts dissolve their roles?</w:t>
      </w:r>
    </w:p>
    <w:p>
      <w:pPr>
        <w:numPr>
          <w:ilvl w:val="0"/>
          <w:numId w:val="1004"/>
        </w:numPr>
      </w:pPr>
      <w:r>
        <w:rPr>
          <w:b/>
          <w:bCs/>
        </w:rPr>
        <w:t xml:space="preserve">Interdisciplinary Integration</w:t>
      </w:r>
      <w:r>
        <w:t xml:space="preserve"> </w:t>
      </w:r>
      <w:r>
        <w:t xml:space="preserve">– What tensions will arise when transient expertise is applied in fields that require licensure or codified standards (e.g., medicine, law)? Can provisional models coexist with the rigour demanded in safety‑critical domains?</w:t>
      </w:r>
    </w:p>
    <w:bookmarkStart w:id="30" w:name="conclusion"/>
    <w:p>
      <w:pPr>
        <w:pStyle w:val="Heading3"/>
      </w:pPr>
      <w:r>
        <w:t xml:space="preserve">Conclusion</w:t>
      </w:r>
    </w:p>
    <w:p>
      <w:pPr>
        <w:pStyle w:val="FirstParagraph"/>
      </w:pPr>
      <w:r>
        <w:t xml:space="preserve">Transient expertise offers a provocative vision of post‑credentialed cognition: fluid, resonance‑driven, AI‑augmented problem solving that values process over identity. The theoretical scaffolding is coherent and rich with metaphor, but the field remains nascent. To move from visionary speculation to practical discipline, researchers must empirically test its constructs, build ethical and inclusive infrastructures, and develop organisational models that harness its strengths while mitigating risks. Only through such grounded efforts can transient expertise evolve from a compelling narrative into a viable system for navigating the complex problems of the 21st century.</w:t>
      </w:r>
    </w:p>
    <w:bookmarkEnd w:id="30"/>
    <w:bookmarkEnd w:id="31"/>
    <w:bookmarkEnd w:id="32"/>
    <w:bookmarkEnd w:id="33"/>
    <w:p>
      <w:r>
        <w:pict>
          <v:rect style="width:0;height:1.5pt" o:hralign="center" o:hrstd="t" o:hr="t"/>
        </w:pict>
      </w:r>
    </w:p>
    <w:bookmarkStart w:id="34" w:name="citations"/>
    <w:p>
      <w:pPr>
        <w:pStyle w:val="FirstParagraph"/>
      </w:pPr>
      <w:hyperlink r:id="rId21">
        <w:r>
          <w:rPr>
            <w:rStyle w:val="Hyperlink"/>
          </w:rPr>
          <w:t xml:space="preserve">[1]</w:t>
        </w:r>
      </w:hyperlink>
      <w:r>
        <w:t xml:space="preserve"> </w:t>
      </w:r>
      <w:hyperlink r:id="rId21">
        <w:r>
          <w:rPr>
            <w:rStyle w:val="Hyperlink"/>
          </w:rPr>
          <w:t xml:space="preserve">[3]</w:t>
        </w:r>
      </w:hyperlink>
      <w:r>
        <w:t xml:space="preserve"> </w:t>
      </w:r>
      <w:r>
        <w:t xml:space="preserve">Embarking on a gestation of Transient Expertise from a future_gptagent.txt</w:t>
      </w:r>
    </w:p>
    <w:p>
      <w:pPr>
        <w:pStyle w:val="BodyText"/>
      </w:pPr>
      <w:hyperlink r:id="rId21">
        <w:r>
          <w:rPr>
            <w:rStyle w:val="Hyperlink"/>
          </w:rPr>
          <w:t xml:space="preserve">file:///home/oai/share/Embarking%20on%20a%20gestation%20of%20Transient%20Expertise%20from%20a%20future_gptagent.txt</w:t>
        </w:r>
      </w:hyperlink>
    </w:p>
    <w:p>
      <w:pPr>
        <w:pStyle w:val="BodyText"/>
      </w:pPr>
      <w:hyperlink r:id="rId22">
        <w:r>
          <w:rPr>
            <w:rStyle w:val="Hyperlink"/>
          </w:rPr>
          <w:t xml:space="preserve">[2]</w:t>
        </w:r>
      </w:hyperlink>
      <w:r>
        <w:t xml:space="preserve"> </w:t>
      </w:r>
      <w:hyperlink r:id="rId22">
        <w:r>
          <w:rPr>
            <w:rStyle w:val="Hyperlink"/>
          </w:rPr>
          <w:t xml:space="preserve">[4]</w:t>
        </w:r>
      </w:hyperlink>
      <w:r>
        <w:t xml:space="preserve"> </w:t>
      </w:r>
      <w:r>
        <w:t xml:space="preserve">Interdisciplinary analysis task (1).txt</w:t>
      </w:r>
    </w:p>
    <w:p>
      <w:pPr>
        <w:pStyle w:val="BodyText"/>
      </w:pPr>
      <w:hyperlink r:id="rId22">
        <w:r>
          <w:rPr>
            <w:rStyle w:val="Hyperlink"/>
          </w:rPr>
          <w:t xml:space="preserve">file:///home/oai/share/Interdisciplinary%20analysis%20task%20%281%29.txt</w:t>
        </w:r>
      </w:hyperlink>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file:///home/oai/share/Embarking%20on%20a%20gestation%20of%20Transient%20Expertise%20from%20a%20future_gptagent.txt" TargetMode="External" /><Relationship Type="http://schemas.openxmlformats.org/officeDocument/2006/relationships/hyperlink" Id="rId22" Target="file:///home/oai/share/Interdisciplinary%20analysis%20task%20%281%29.txt" TargetMode="External" /></Relationships>
</file>

<file path=word/_rels/footnotes.xml.rels><?xml version="1.0" encoding="UTF-8"?><Relationships xmlns="http://schemas.openxmlformats.org/package/2006/relationships"><Relationship Type="http://schemas.openxmlformats.org/officeDocument/2006/relationships/hyperlink" Id="rId21" Target="file:///home/oai/share/Embarking%20on%20a%20gestation%20of%20Transient%20Expertise%20from%20a%20future_gptagent.txt" TargetMode="External" /><Relationship Type="http://schemas.openxmlformats.org/officeDocument/2006/relationships/hyperlink" Id="rId22" Target="file:///home/oai/share/Interdisciplinary%20analysis%20task%20%281%29.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2025-08-02T04:24:27Z</dcterms:created>
  <dcterms:modified xsi:type="dcterms:W3CDTF">2025-08-02T04:24:27Z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