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7" w:name="content"/>
    <w:bookmarkStart w:id="56" w:name="X37405515b9331c4b73a95772846ca98a10f2ca7"/>
    <w:p>
      <w:pPr>
        <w:pStyle w:val="Heading1"/>
      </w:pPr>
      <w:r>
        <w:t xml:space="preserve">Transient Expertise: Toward a Unified Structural Viability Framework</w:t>
      </w:r>
    </w:p>
    <w:bookmarkStart w:id="21" w:name="abstract"/>
    <w:p>
      <w:pPr>
        <w:pStyle w:val="Heading2"/>
      </w:pPr>
      <w:r>
        <w:t xml:space="preserve">Abstract</w:t>
      </w:r>
    </w:p>
    <w:p>
      <w:pPr>
        <w:pStyle w:val="FirstParagraph"/>
      </w:pPr>
      <w:r>
        <w:t xml:space="preserve">Transient Expertise proposes a mode of cognition in which individuals temporarily inhabit domain‑limited mastery through recursive abstraction, symbolic synthesis and attunement to problem context. This document synthesises multiple high‑tier evaluations into a unified framework, articulating the theoretical core, activation mechanics, meta‑cognitive feedback loops, real‑world pathways, comparative context, risk models and future implications. It positions Transient Expertise within broader intellectual traditions and outlines implementation routes across education, organisations and society. An appendix provides a conceptual taxonomy and symbolic glossary.</w:t>
      </w:r>
    </w:p>
    <w:bookmarkEnd w:id="21"/>
    <w:bookmarkStart w:id="22" w:name="executive-summary"/>
    <w:p>
      <w:pPr>
        <w:pStyle w:val="Heading2"/>
      </w:pPr>
      <w:r>
        <w:t xml:space="preserve">Executive Summary</w:t>
      </w:r>
    </w:p>
    <w:p>
      <w:pPr>
        <w:pStyle w:val="FirstParagraph"/>
      </w:pPr>
      <w:r>
        <w:t xml:space="preserve">Transient Expertise emerges at the intersection of cognitive science, systems theory and AI‑assisted knowledge work. It diverges from conventional expertise by prioritising resonance‑driven motivation, symbolic compression and recursive self‑evaluation over durable knowledge accumulation. This synthesis defines the symbolic architecture (OMEF, FSI, SCMF), explains how transient activation unfolds, explores reflective feedback loops, assesses viability across institutions, and situates the concept philosophically. It concludes with a forward‑looking vision that reframes labour markets, credentialing and the ontology of human knowledge. While opportunities are significant, risks such as epistemic drift, institutional resistance and cognitive overload must be addressed.</w:t>
      </w:r>
    </w:p>
    <w:p>
      <w:r>
        <w:pict>
          <v:rect style="width:0;height:1.5pt" o:hralign="center" o:hrstd="t" o:hr="t"/>
        </w:pict>
      </w:r>
    </w:p>
    <w:bookmarkEnd w:id="22"/>
    <w:bookmarkStart w:id="26" w:name="Xd7288c43399abf26f10d960b3c475f795c4550d"/>
    <w:p>
      <w:pPr>
        <w:pStyle w:val="Heading2"/>
      </w:pPr>
      <w:r>
        <w:t xml:space="preserve">1 Theoretical Core and Symbolic Architecture</w:t>
      </w:r>
    </w:p>
    <w:bookmarkStart w:id="23" w:name="definition-of-transient-expertise"/>
    <w:p>
      <w:pPr>
        <w:pStyle w:val="Heading3"/>
      </w:pPr>
      <w:r>
        <w:t xml:space="preserve">1.1 Definition of Transient Expertise</w:t>
      </w:r>
    </w:p>
    <w:p>
      <w:pPr>
        <w:pStyle w:val="FirstParagraph"/>
      </w:pPr>
      <w:r>
        <w:t xml:space="preserve">Transient Expertise denotes the capacity to attain high‑resolution competence in a specific domain or problem space for a limited time, leveraging recursive abstraction and AI‑assisted synthesis rather than prolonged formal training. The transient expert engages when internal resonance aligns with a challenge; they assemble symbolic scaffolds, integrate disparate knowledge and deliver contextualised solutions, subsequently relinquishing the expert identity once the problem is resolved.</w:t>
      </w:r>
    </w:p>
    <w:bookmarkEnd w:id="23"/>
    <w:bookmarkStart w:id="24" w:name="symbolic-and-ontological-machinery"/>
    <w:p>
      <w:pPr>
        <w:pStyle w:val="Heading3"/>
      </w:pPr>
      <w:r>
        <w:t xml:space="preserve">1.2 Symbolic and ontological machinery</w:t>
      </w:r>
    </w:p>
    <w:p>
      <w:pPr>
        <w:pStyle w:val="FirstParagraph"/>
      </w:pPr>
      <w:r>
        <w:t xml:space="preserve">Three core constructs underpin the symbolic architecture of Transient Expertise:</w:t>
      </w:r>
    </w:p>
    <w:p>
      <w:pPr>
        <w:numPr>
          <w:ilvl w:val="0"/>
          <w:numId w:val="1001"/>
        </w:numPr>
      </w:pPr>
      <w:r>
        <w:rPr>
          <w:b/>
          <w:bCs/>
        </w:rPr>
        <w:t xml:space="preserve">Ontologically Modulated Executive Function (OMEF).</w:t>
      </w:r>
      <w:r>
        <w:t xml:space="preserve"> </w:t>
      </w:r>
      <w:r>
        <w:t xml:space="preserve">Executive engagement is a gate controlled by alignment between a task and the individual’s internal ontology. Without resonance, motivation remains dormant; when tasks resonate, full engagement ensues.</w:t>
      </w:r>
    </w:p>
    <w:p>
      <w:pPr>
        <w:numPr>
          <w:ilvl w:val="0"/>
          <w:numId w:val="1001"/>
        </w:numPr>
      </w:pPr>
      <w:r>
        <w:rPr>
          <w:b/>
          <w:bCs/>
        </w:rPr>
        <w:t xml:space="preserve">False‑Structure Intolerance (FSI).</w:t>
      </w:r>
      <w:r>
        <w:t xml:space="preserve"> </w:t>
      </w:r>
      <w:r>
        <w:t xml:space="preserve">A protective mechanism triggers disengagement when external demands are perceived as incoherent or meaningless. FSI prevents energy from being wasted on tasks misaligned with the individual’s value structure.</w:t>
      </w:r>
    </w:p>
    <w:p>
      <w:pPr>
        <w:numPr>
          <w:ilvl w:val="0"/>
          <w:numId w:val="1001"/>
        </w:numPr>
      </w:pPr>
      <w:r>
        <w:rPr>
          <w:b/>
          <w:bCs/>
        </w:rPr>
        <w:t xml:space="preserve">State‑Contingent Motivational Filtering (SCMF).</w:t>
      </w:r>
      <w:r>
        <w:t xml:space="preserve"> </w:t>
      </w:r>
      <w:r>
        <w:t xml:space="preserve">Motivation fluctuates between low and high states depending on the congruence between external stimuli and internal state vectors. This produces oscillatory productivity patterns.</w:t>
      </w:r>
    </w:p>
    <w:p>
      <w:pPr>
        <w:pStyle w:val="FirstParagraph"/>
      </w:pPr>
      <w:r>
        <w:t xml:space="preserve">These constructs interact within a recursive loop. When a resonant problem is encountered, OMEF opens; SCMF amplifies focus; FSI filters out irrelevant structures. Cognitive effort is then channelled into</w:t>
      </w:r>
      <w:r>
        <w:t xml:space="preserve"> </w:t>
      </w:r>
      <w:r>
        <w:rPr>
          <w:b/>
          <w:bCs/>
        </w:rPr>
        <w:t xml:space="preserve">symbolic compression</w:t>
      </w:r>
      <w:r>
        <w:t xml:space="preserve">—the distillation of complex phenomena into concise constructs—achieved through iterative dialogues with AI systems and internal reflection.</w:t>
      </w:r>
    </w:p>
    <w:bookmarkEnd w:id="24"/>
    <w:bookmarkStart w:id="25" w:name="X3769ef5a2e79e6f1c2be98e56440fb95eca01fa"/>
    <w:p>
      <w:pPr>
        <w:pStyle w:val="Heading3"/>
      </w:pPr>
      <w:r>
        <w:t xml:space="preserve">1.3 Distinction from conventional expertise models</w:t>
      </w:r>
    </w:p>
    <w:p>
      <w:pPr>
        <w:pStyle w:val="FirstParagraph"/>
      </w:pPr>
      <w:r>
        <w:t xml:space="preserve">Traditional expertise emphasises cumulative knowledge, credentialing and long‑term role identity. In contrast, Transient Expertise is</w:t>
      </w:r>
      <w:r>
        <w:t xml:space="preserve"> </w:t>
      </w:r>
      <w:r>
        <w:rPr>
          <w:b/>
          <w:bCs/>
        </w:rPr>
        <w:t xml:space="preserve">episodic</w:t>
      </w:r>
      <w:r>
        <w:t xml:space="preserve">,</w:t>
      </w:r>
      <w:r>
        <w:t xml:space="preserve"> </w:t>
      </w:r>
      <w:r>
        <w:rPr>
          <w:b/>
          <w:bCs/>
        </w:rPr>
        <w:t xml:space="preserve">context‑responsive</w:t>
      </w:r>
      <w:r>
        <w:t xml:space="preserve"> </w:t>
      </w:r>
      <w:r>
        <w:t xml:space="preserve">and</w:t>
      </w:r>
      <w:r>
        <w:t xml:space="preserve"> </w:t>
      </w:r>
      <w:r>
        <w:rPr>
          <w:b/>
          <w:bCs/>
        </w:rPr>
        <w:t xml:space="preserve">identity‑fluid</w:t>
      </w:r>
      <w:r>
        <w:t xml:space="preserve">. Depth is obtained through rapid, high‑bandwidth integration of multiple sources, not prolonged immersion. Motivation arises from meaning alignment rather than duty or career advancement. Expertise is viewed as a temporary service to a problem rather than an enduring marker of self‐worth. This shift decouples cognitive capability from credentialed identity and invites a revaluation of how societies recognise competence.</w:t>
      </w:r>
    </w:p>
    <w:p>
      <w:r>
        <w:pict>
          <v:rect style="width:0;height:1.5pt" o:hralign="center" o:hrstd="t" o:hr="t"/>
        </w:pict>
      </w:r>
    </w:p>
    <w:bookmarkEnd w:id="25"/>
    <w:bookmarkEnd w:id="26"/>
    <w:bookmarkStart w:id="30" w:name="mechanics-of-transient-activation"/>
    <w:p>
      <w:pPr>
        <w:pStyle w:val="Heading2"/>
      </w:pPr>
      <w:r>
        <w:t xml:space="preserve">2 Mechanics of Transient Activation</w:t>
      </w:r>
    </w:p>
    <w:bookmarkStart w:id="27" w:name="generating-domainlimited-mastery"/>
    <w:p>
      <w:pPr>
        <w:pStyle w:val="Heading3"/>
      </w:pPr>
      <w:r>
        <w:t xml:space="preserve">2.1 Generating domain‑limited mastery</w:t>
      </w:r>
    </w:p>
    <w:p>
      <w:pPr>
        <w:pStyle w:val="FirstParagraph"/>
      </w:pPr>
      <w:r>
        <w:t xml:space="preserve">The activation of transient expertise follows a sequence:</w:t>
      </w:r>
    </w:p>
    <w:p>
      <w:pPr>
        <w:numPr>
          <w:ilvl w:val="0"/>
          <w:numId w:val="1002"/>
        </w:numPr>
      </w:pPr>
      <w:r>
        <w:rPr>
          <w:b/>
          <w:bCs/>
        </w:rPr>
        <w:t xml:space="preserve">Resonant encounter.</w:t>
      </w:r>
      <w:r>
        <w:t xml:space="preserve"> </w:t>
      </w:r>
      <w:r>
        <w:t xml:space="preserve">A problem or question intersects with the individual’s internal value network, triggering OMEF. The individual experiences a sense of urgency or curiosity; this is akin to “meaning storms” described in the underlying case study.</w:t>
      </w:r>
    </w:p>
    <w:p>
      <w:pPr>
        <w:numPr>
          <w:ilvl w:val="0"/>
          <w:numId w:val="1002"/>
        </w:numPr>
      </w:pPr>
      <w:r>
        <w:rPr>
          <w:b/>
          <w:bCs/>
        </w:rPr>
        <w:t xml:space="preserve">Recursive abstraction.</w:t>
      </w:r>
      <w:r>
        <w:t xml:space="preserve"> </w:t>
      </w:r>
      <w:r>
        <w:t xml:space="preserve">The transient expert initiates dialogues with AI systems to map the problem space, asking exploratory, symbolic and structural prompts. They engage in</w:t>
      </w:r>
      <w:r>
        <w:t xml:space="preserve"> </w:t>
      </w:r>
      <w:r>
        <w:rPr>
          <w:b/>
          <w:bCs/>
        </w:rPr>
        <w:t xml:space="preserve">resonance sorting</w:t>
      </w:r>
      <w:r>
        <w:t xml:space="preserve">, keeping ideas that align and discarding those that evoke FSI. Through iterative questioning, abstract patterns emerge.</w:t>
      </w:r>
    </w:p>
    <w:p>
      <w:pPr>
        <w:numPr>
          <w:ilvl w:val="0"/>
          <w:numId w:val="1002"/>
        </w:numPr>
      </w:pPr>
      <w:r>
        <w:rPr>
          <w:b/>
          <w:bCs/>
        </w:rPr>
        <w:t xml:space="preserve">Symbolic compression.</w:t>
      </w:r>
      <w:r>
        <w:t xml:space="preserve"> </w:t>
      </w:r>
      <w:r>
        <w:t xml:space="preserve">Using trait–construct matrices and diagrams, the individual compresses diffuse information into portable constructs. Big Five trait data or empirical evidence anchors these constructs, preventing speculative drift.</w:t>
      </w:r>
    </w:p>
    <w:p>
      <w:pPr>
        <w:numPr>
          <w:ilvl w:val="0"/>
          <w:numId w:val="1002"/>
        </w:numPr>
      </w:pPr>
      <w:r>
        <w:rPr>
          <w:b/>
          <w:bCs/>
        </w:rPr>
        <w:t xml:space="preserve">Gestural cognition.</w:t>
      </w:r>
      <w:r>
        <w:t xml:space="preserve"> </w:t>
      </w:r>
      <w:r>
        <w:t xml:space="preserve">Physical gestures—drawing diagrams, arranging cards—support embodied understanding. Cognitive resources are externalised to reduce working memory load.</w:t>
      </w:r>
    </w:p>
    <w:p>
      <w:pPr>
        <w:numPr>
          <w:ilvl w:val="0"/>
          <w:numId w:val="1002"/>
        </w:numPr>
      </w:pPr>
      <w:r>
        <w:rPr>
          <w:b/>
          <w:bCs/>
        </w:rPr>
        <w:t xml:space="preserve">Epistemic resonance.</w:t>
      </w:r>
      <w:r>
        <w:t xml:space="preserve"> </w:t>
      </w:r>
      <w:r>
        <w:t xml:space="preserve">The individual tests whether the symbolic model resonates across contexts by applying it to sub‑problems or seeking AI critiques. If dissonance appears, the model is refined or discarded.</w:t>
      </w:r>
    </w:p>
    <w:p>
      <w:pPr>
        <w:numPr>
          <w:ilvl w:val="0"/>
          <w:numId w:val="1002"/>
        </w:numPr>
      </w:pPr>
      <w:r>
        <w:rPr>
          <w:b/>
          <w:bCs/>
        </w:rPr>
        <w:t xml:space="preserve">Delivery and dissolution.</w:t>
      </w:r>
      <w:r>
        <w:t xml:space="preserve"> </w:t>
      </w:r>
      <w:r>
        <w:t xml:space="preserve">Once the model satisfies the problem’s constraints and resonates internally, it is delivered as a solution (e.g. report, design, recommendation). Engagement then tapers; SCMF decreases motivation, and the expert exits the domain.</w:t>
      </w:r>
    </w:p>
    <w:p>
      <w:pPr>
        <w:pStyle w:val="FirstParagraph"/>
      </w:pPr>
      <w:r>
        <w:t xml:space="preserve">Transient expertise thus is less about “acquiring knowledge” and more about</w:t>
      </w:r>
      <w:r>
        <w:t xml:space="preserve"> </w:t>
      </w:r>
      <w:r>
        <w:rPr>
          <w:b/>
          <w:bCs/>
        </w:rPr>
        <w:t xml:space="preserve">reconfiguring knowledge</w:t>
      </w:r>
      <w:r>
        <w:t xml:space="preserve"> </w:t>
      </w:r>
      <w:r>
        <w:t xml:space="preserve">to fit novel contexts. AI systems act as catalysts, accelerating abstraction and providing cross‑domain analogies.</w:t>
      </w:r>
    </w:p>
    <w:bookmarkEnd w:id="27"/>
    <w:bookmarkStart w:id="28" w:name="conditions-for-emergence"/>
    <w:p>
      <w:pPr>
        <w:pStyle w:val="Heading3"/>
      </w:pPr>
      <w:r>
        <w:t xml:space="preserve">2.2 Conditions for emergence</w:t>
      </w:r>
    </w:p>
    <w:p>
      <w:pPr>
        <w:pStyle w:val="FirstParagraph"/>
      </w:pPr>
      <w:r>
        <w:t xml:space="preserve">Several conditions influence the likelihood of transient activation:</w:t>
      </w:r>
    </w:p>
    <w:p>
      <w:pPr>
        <w:numPr>
          <w:ilvl w:val="0"/>
          <w:numId w:val="1003"/>
        </w:numPr>
      </w:pPr>
      <w:r>
        <w:rPr>
          <w:b/>
          <w:bCs/>
        </w:rPr>
        <w:t xml:space="preserve">High informational diversity.</w:t>
      </w:r>
      <w:r>
        <w:t xml:space="preserve"> </w:t>
      </w:r>
      <w:r>
        <w:t xml:space="preserve">Problems that draw upon multiple disciplines provide more opportunity for pattern finding and resonate with high‑Openness individuals.</w:t>
      </w:r>
    </w:p>
    <w:p>
      <w:pPr>
        <w:numPr>
          <w:ilvl w:val="0"/>
          <w:numId w:val="1003"/>
        </w:numPr>
      </w:pPr>
      <w:r>
        <w:rPr>
          <w:b/>
          <w:bCs/>
        </w:rPr>
        <w:t xml:space="preserve">Flexible environment.</w:t>
      </w:r>
      <w:r>
        <w:t xml:space="preserve"> </w:t>
      </w:r>
      <w:r>
        <w:t xml:space="preserve">Settings that allow time for exploration and provide access to diverse sources (AI tools, databases, experts) support transient activation. The Gestalt Systems Synthesis Environment exemplifies such a design.</w:t>
      </w:r>
    </w:p>
    <w:p>
      <w:pPr>
        <w:numPr>
          <w:ilvl w:val="0"/>
          <w:numId w:val="1003"/>
        </w:numPr>
      </w:pPr>
      <w:r>
        <w:rPr>
          <w:b/>
          <w:bCs/>
        </w:rPr>
        <w:t xml:space="preserve">Internal readiness.</w:t>
      </w:r>
      <w:r>
        <w:t xml:space="preserve"> </w:t>
      </w:r>
      <w:r>
        <w:t xml:space="preserve">Individuals need sufficient cognitive bandwidth (rested state) and a tolerance for uncertainty. Stress or resource depletion can suppress OMEF and inhibit activation.</w:t>
      </w:r>
    </w:p>
    <w:p>
      <w:pPr>
        <w:numPr>
          <w:ilvl w:val="0"/>
          <w:numId w:val="1003"/>
        </w:numPr>
      </w:pPr>
      <w:r>
        <w:rPr>
          <w:b/>
          <w:bCs/>
        </w:rPr>
        <w:t xml:space="preserve">Organisational permission.</w:t>
      </w:r>
      <w:r>
        <w:t xml:space="preserve"> </w:t>
      </w:r>
      <w:r>
        <w:t xml:space="preserve">Cultures that value rapid synthesis and do not penalise lack of credentials are more conducive. Hierarchical and siloed environments may suppress transient activation through enforced duty structures.</w:t>
      </w:r>
    </w:p>
    <w:bookmarkEnd w:id="28"/>
    <w:bookmarkStart w:id="29" w:name="X03dfb24603aa31d09e0a4a59070686d626b179a"/>
    <w:p>
      <w:pPr>
        <w:pStyle w:val="Heading3"/>
      </w:pPr>
      <w:r>
        <w:t xml:space="preserve">2.3 Relationship to symbolic compression, gestural cognition and epistemic resonance</w:t>
      </w:r>
    </w:p>
    <w:p>
      <w:pPr>
        <w:pStyle w:val="FirstParagraph"/>
      </w:pPr>
      <w:r>
        <w:rPr>
          <w:b/>
          <w:bCs/>
        </w:rPr>
        <w:t xml:space="preserve">Symbolic compression</w:t>
      </w:r>
      <w:r>
        <w:t xml:space="preserve"> </w:t>
      </w:r>
      <w:r>
        <w:t xml:space="preserve">transforms unwieldy problem spaces into manageable constructs. It requires recursive interaction with AI to test definitions and boundaries.</w:t>
      </w:r>
      <w:r>
        <w:t xml:space="preserve"> </w:t>
      </w:r>
      <w:r>
        <w:rPr>
          <w:b/>
          <w:bCs/>
        </w:rPr>
        <w:t xml:space="preserve">Gestural cognition</w:t>
      </w:r>
      <w:r>
        <w:t xml:space="preserve"> </w:t>
      </w:r>
      <w:r>
        <w:t xml:space="preserve">anchors abstraction in embodied experience; sketching, diagramming and manipulating objects create kinesthetic feedback loops that enhance insight.</w:t>
      </w:r>
      <w:r>
        <w:t xml:space="preserve"> </w:t>
      </w:r>
      <w:r>
        <w:rPr>
          <w:b/>
          <w:bCs/>
        </w:rPr>
        <w:t xml:space="preserve">Epistemic resonance</w:t>
      </w:r>
      <w:r>
        <w:t xml:space="preserve"> </w:t>
      </w:r>
      <w:r>
        <w:t xml:space="preserve">refers to the feeling of coherence when internal models align with external patterns. Together, these processes create a self‑reinforcing cycle: compressed symbols provide clarity; gestures make them tangible; resonance motivates further exploration.</w:t>
      </w:r>
    </w:p>
    <w:p>
      <w:r>
        <w:pict>
          <v:rect style="width:0;height:1.5pt" o:hralign="center" o:hrstd="t" o:hr="t"/>
        </w:pict>
      </w:r>
    </w:p>
    <w:bookmarkEnd w:id="29"/>
    <w:bookmarkEnd w:id="30"/>
    <w:bookmarkStart w:id="34" w:name="metacognitive-feedback-loops"/>
    <w:p>
      <w:pPr>
        <w:pStyle w:val="Heading2"/>
      </w:pPr>
      <w:r>
        <w:t xml:space="preserve">3 Meta‑Cognitive Feedback Loops</w:t>
      </w:r>
    </w:p>
    <w:bookmarkStart w:id="31" w:name="recursive-evaluation-and-meaning-pruning"/>
    <w:p>
      <w:pPr>
        <w:pStyle w:val="Heading3"/>
      </w:pPr>
      <w:r>
        <w:t xml:space="preserve">3.1 Recursive evaluation and meaning pruning</w:t>
      </w:r>
    </w:p>
    <w:p>
      <w:pPr>
        <w:pStyle w:val="FirstParagraph"/>
      </w:pPr>
      <w:r>
        <w:t xml:space="preserve">Transient expertise is sustained by</w:t>
      </w:r>
      <w:r>
        <w:t xml:space="preserve"> </w:t>
      </w:r>
      <w:r>
        <w:rPr>
          <w:b/>
          <w:bCs/>
        </w:rPr>
        <w:t xml:space="preserve">meta‑cognitive feedback loops</w:t>
      </w:r>
      <w:r>
        <w:t xml:space="preserve">. Individuals continually evaluate their own models, monitor internal states and prune meaning structures. This involves:</w:t>
      </w:r>
    </w:p>
    <w:p>
      <w:pPr>
        <w:numPr>
          <w:ilvl w:val="0"/>
          <w:numId w:val="1004"/>
        </w:numPr>
      </w:pPr>
      <w:r>
        <w:rPr>
          <w:b/>
          <w:bCs/>
        </w:rPr>
        <w:t xml:space="preserve">Anti‑narrative reflex.</w:t>
      </w:r>
      <w:r>
        <w:t xml:space="preserve"> </w:t>
      </w:r>
      <w:r>
        <w:t xml:space="preserve">Recognising the temptation to accept coherent stories prematurely, the expert deliberately exposes models to critique, soliciting AI‑driven counterarguments or data that could falsify them. Popperian falsifiability principles apply here, ensuring that constructs remain provisional.</w:t>
      </w:r>
    </w:p>
    <w:p>
      <w:pPr>
        <w:numPr>
          <w:ilvl w:val="0"/>
          <w:numId w:val="1004"/>
        </w:numPr>
      </w:pPr>
      <w:r>
        <w:rPr>
          <w:b/>
          <w:bCs/>
        </w:rPr>
        <w:t xml:space="preserve">Meaning pruning.</w:t>
      </w:r>
      <w:r>
        <w:t xml:space="preserve"> </w:t>
      </w:r>
      <w:r>
        <w:t xml:space="preserve">Ideas that once resonated may lose relevance. The expert systematically revisits constructs, discarding those that no longer align. This prevents clutter and cognitive overload.</w:t>
      </w:r>
    </w:p>
    <w:p>
      <w:pPr>
        <w:numPr>
          <w:ilvl w:val="0"/>
          <w:numId w:val="1004"/>
        </w:numPr>
      </w:pPr>
      <w:r>
        <w:rPr>
          <w:b/>
          <w:bCs/>
        </w:rPr>
        <w:t xml:space="preserve">Reflective reinforcement.</w:t>
      </w:r>
      <w:r>
        <w:t xml:space="preserve"> </w:t>
      </w:r>
      <w:r>
        <w:t xml:space="preserve">When a construct withstands challenges, its connections in the value network strengthen. Positive feedback consolidates pathways, making future activation easier. Over time, a repertoire of high‑quality constructs accumulates, forming a personal lexicon.</w:t>
      </w:r>
    </w:p>
    <w:bookmarkEnd w:id="31"/>
    <w:bookmarkStart w:id="32" w:name="X117f1b1c08af5fee1282e4ed9805feff6161b41"/>
    <w:p>
      <w:pPr>
        <w:pStyle w:val="Heading3"/>
      </w:pPr>
      <w:r>
        <w:t xml:space="preserve">3.2 Epistemic tightness and reflective reinforcement</w:t>
      </w:r>
    </w:p>
    <w:p>
      <w:pPr>
        <w:pStyle w:val="FirstParagraph"/>
      </w:pPr>
      <w:r>
        <w:rPr>
          <w:b/>
          <w:bCs/>
        </w:rPr>
        <w:t xml:space="preserve">Epistemic tightness</w:t>
      </w:r>
      <w:r>
        <w:t xml:space="preserve"> </w:t>
      </w:r>
      <w:r>
        <w:t xml:space="preserve">refers to the degree of integration and mutual support among constructs, evidence and phenomenology. Tight systems have minimal internal contradictions and strong empirical grounding. Feedback loops aim to tighten models by identifying weak links and reinforcing strong ones. Reflective reinforcement occurs when the expert sees their constructs validated by independent data or AI outputs. This synergy between internal conviction and external confirmation fosters confidence without dogmatism.</w:t>
      </w:r>
    </w:p>
    <w:bookmarkEnd w:id="32"/>
    <w:bookmarkStart w:id="33" w:name="X4c56547a8f87201b5acb86dbfa3dcc4ecc4431b"/>
    <w:p>
      <w:pPr>
        <w:pStyle w:val="Heading3"/>
      </w:pPr>
      <w:r>
        <w:t xml:space="preserve">3.3 Transactive agents navigating symbolic terrain</w:t>
      </w:r>
    </w:p>
    <w:p>
      <w:pPr>
        <w:pStyle w:val="FirstParagraph"/>
      </w:pPr>
      <w:r>
        <w:t xml:space="preserve">In this framework, individuals are</w:t>
      </w:r>
      <w:r>
        <w:t xml:space="preserve"> </w:t>
      </w:r>
      <w:r>
        <w:rPr>
          <w:b/>
          <w:bCs/>
        </w:rPr>
        <w:t xml:space="preserve">transactive agents</w:t>
      </w:r>
      <w:r>
        <w:t xml:space="preserve">: their cognition extends beyond the brain into AI systems, digital libraries and physical artifacts. They navigate a symbolic terrain populated by constructs, metrics and evidence. Agency is exercised through selection (what to attend to), transformation (how to reframe information) and relinquishment (when to let go). The agent’s identity shifts fluidly as they traverse domains, guided by resonance and feedback. This is reminiscent of second‑order cybernetics, where the observer participates in the system being observed.</w:t>
      </w:r>
    </w:p>
    <w:p>
      <w:r>
        <w:pict>
          <v:rect style="width:0;height:1.5pt" o:hralign="center" o:hrstd="t" o:hr="t"/>
        </w:pict>
      </w:r>
    </w:p>
    <w:bookmarkEnd w:id="33"/>
    <w:bookmarkEnd w:id="34"/>
    <w:bookmarkStart w:id="39" w:name="viability-and-realworld-pathways"/>
    <w:p>
      <w:pPr>
        <w:pStyle w:val="Heading2"/>
      </w:pPr>
      <w:r>
        <w:t xml:space="preserve">4 Viability and Real‑World Pathways</w:t>
      </w:r>
    </w:p>
    <w:bookmarkStart w:id="35" w:name="educational-models"/>
    <w:p>
      <w:pPr>
        <w:pStyle w:val="Heading3"/>
      </w:pPr>
      <w:r>
        <w:t xml:space="preserve">4.1 Educational models</w:t>
      </w:r>
    </w:p>
    <w:p>
      <w:pPr>
        <w:pStyle w:val="FirstParagraph"/>
      </w:pPr>
      <w:r>
        <w:rPr>
          <w:b/>
          <w:bCs/>
        </w:rPr>
        <w:t xml:space="preserve">AI‑prosthetic pedagogy.</w:t>
      </w:r>
      <w:r>
        <w:t xml:space="preserve"> </w:t>
      </w:r>
      <w:r>
        <w:t xml:space="preserve">Education can integrate AI tools as cognitive prostheses, teaching students to orchestrate dialogues, build trait–construct matrices and practise anti‑narrative reflexes. Short, problem‑focused modules could replace long lecture series. Dynamic portfolios of solved problems would serve as micro‑credentials. Mentorship roles would shift from content delivery to meta‑cognitive coaching.</w:t>
      </w:r>
    </w:p>
    <w:p>
      <w:pPr>
        <w:pStyle w:val="BodyText"/>
      </w:pPr>
      <w:r>
        <w:rPr>
          <w:b/>
          <w:bCs/>
        </w:rPr>
        <w:t xml:space="preserve">Learning contracts.</w:t>
      </w:r>
      <w:r>
        <w:t xml:space="preserve"> </w:t>
      </w:r>
      <w:r>
        <w:t xml:space="preserve">Institutions may adopt contractual learning: individuals engage with a problem, use school resources to reach an outcome, document the process and then exit. Instead of majors, students sign up for problem clusters (e.g., “urban sustainability”) and receive guidance in assembling transient expertise teams.</w:t>
      </w:r>
    </w:p>
    <w:bookmarkEnd w:id="35"/>
    <w:bookmarkStart w:id="36" w:name="organisational-structures"/>
    <w:p>
      <w:pPr>
        <w:pStyle w:val="Heading3"/>
      </w:pPr>
      <w:r>
        <w:t xml:space="preserve">4.2 Organisational structures</w:t>
      </w:r>
    </w:p>
    <w:p>
      <w:pPr>
        <w:pStyle w:val="FirstParagraph"/>
      </w:pPr>
      <w:r>
        <w:rPr>
          <w:b/>
          <w:bCs/>
        </w:rPr>
        <w:t xml:space="preserve">Anti‑siloed innovation teams.</w:t>
      </w:r>
      <w:r>
        <w:t xml:space="preserve"> </w:t>
      </w:r>
      <w:r>
        <w:t xml:space="preserve">Companies can create fluid teams composed of transient experts and domain specialists. Problems are defined at a meta level, and teams assemble for short sprints, dissolving afterwards. Orchestration engineers facilitate resonance matching and ensure knowledge integration. This structure reduces the cost of long R&amp;D cycles and fosters cross‑pollination of ideas.</w:t>
      </w:r>
    </w:p>
    <w:p>
      <w:pPr>
        <w:pStyle w:val="BodyText"/>
      </w:pPr>
      <w:r>
        <w:rPr>
          <w:b/>
          <w:bCs/>
        </w:rPr>
        <w:t xml:space="preserve">Epistemic marketplaces.</w:t>
      </w:r>
      <w:r>
        <w:t xml:space="preserve"> </w:t>
      </w:r>
      <w:r>
        <w:t xml:space="preserve">Platforms could match organisations facing complex challenges with pools of transient experts. Payment models would compensate for problem resolution rather than hours, akin to the gig economy for knowledge work. Rating systems would reflect the rigour of models and the quality of collaboration, not just client satisfaction.</w:t>
      </w:r>
    </w:p>
    <w:bookmarkEnd w:id="36"/>
    <w:bookmarkStart w:id="37" w:name="societal-functions"/>
    <w:p>
      <w:pPr>
        <w:pStyle w:val="Heading3"/>
      </w:pPr>
      <w:r>
        <w:t xml:space="preserve">4.3 Societal functions</w:t>
      </w:r>
    </w:p>
    <w:p>
      <w:pPr>
        <w:pStyle w:val="FirstParagraph"/>
      </w:pPr>
      <w:r>
        <w:rPr>
          <w:b/>
          <w:bCs/>
        </w:rPr>
        <w:t xml:space="preserve">Crisis response.</w:t>
      </w:r>
      <w:r>
        <w:t xml:space="preserve"> </w:t>
      </w:r>
      <w:r>
        <w:t xml:space="preserve">In emergencies—pandemics, natural disasters—transient experts could rapidly model evolving situations, synthesise data and propose adaptive interventions. Their ability to integrate cross‑domain information and remain unattached to professional turf could accelerate response times.</w:t>
      </w:r>
    </w:p>
    <w:p>
      <w:pPr>
        <w:pStyle w:val="BodyText"/>
      </w:pPr>
      <w:r>
        <w:rPr>
          <w:b/>
          <w:bCs/>
        </w:rPr>
        <w:t xml:space="preserve">Policy prototyping.</w:t>
      </w:r>
      <w:r>
        <w:t xml:space="preserve"> </w:t>
      </w:r>
      <w:r>
        <w:t xml:space="preserve">Governments may engage transient experts to prototype policy options. Instead of committing to a single solution, multiple transient teams could generate divergent proposals, which are then evaluated through simulations and stakeholder engagement. This approach aligns with deliberative democracy principles and reduces policy inertia.</w:t>
      </w:r>
    </w:p>
    <w:bookmarkEnd w:id="37"/>
    <w:bookmarkStart w:id="38" w:name="viability-assessment"/>
    <w:p>
      <w:pPr>
        <w:pStyle w:val="Heading3"/>
      </w:pPr>
      <w:r>
        <w:t xml:space="preserve">4.4 Viability assessment</w:t>
      </w:r>
    </w:p>
    <w:p>
      <w:pPr>
        <w:pStyle w:val="FirstParagraph"/>
      </w:pPr>
      <w:r>
        <w:rPr>
          <w:b/>
          <w:bCs/>
        </w:rPr>
        <w:t xml:space="preserve">Economic.</w:t>
      </w:r>
      <w:r>
        <w:t xml:space="preserve"> </w:t>
      </w:r>
      <w:r>
        <w:t xml:space="preserve">Short‑term viability is high in innovation‑driven sectors where time pressures and interdisciplinary complexity favour agile synthesis. Long‑term viability depends on developing sustainable compensation models and preventing race‑to‑the‑bottom dynamics in gig epistemology. Transient expertise must be valued appropriately; otherwise, exploitation and burnout could undermine the model.</w:t>
      </w:r>
    </w:p>
    <w:p>
      <w:pPr>
        <w:pStyle w:val="BodyText"/>
      </w:pPr>
      <w:r>
        <w:rPr>
          <w:b/>
          <w:bCs/>
        </w:rPr>
        <w:t xml:space="preserve">Ethical.</w:t>
      </w:r>
      <w:r>
        <w:t xml:space="preserve"> </w:t>
      </w:r>
      <w:r>
        <w:t xml:space="preserve">Ethical viability requires transparent AI usage, respect for contributors’ well‑being and protection of sensitive data. Organisational policies must prevent plagiarism, misattribution and exploitation of neurodivergent traits. Ethical guidelines should be codified, perhaps through professional associations of transient practitioners.</w:t>
      </w:r>
    </w:p>
    <w:p>
      <w:pPr>
        <w:pStyle w:val="BodyText"/>
      </w:pPr>
      <w:r>
        <w:rPr>
          <w:b/>
          <w:bCs/>
        </w:rPr>
        <w:t xml:space="preserve">Cognitive.</w:t>
      </w:r>
      <w:r>
        <w:t xml:space="preserve"> </w:t>
      </w:r>
      <w:r>
        <w:t xml:space="preserve">Cognitive viability hinges on training individuals to manage resonance rhythms and to engage in reflective practices. Without support, high‑volatility personalities may experience burnout. Community support networks and mental health services should accompany programmatic implementation.</w:t>
      </w:r>
    </w:p>
    <w:p>
      <w:r>
        <w:pict>
          <v:rect style="width:0;height:1.5pt" o:hralign="center" o:hrstd="t" o:hr="t"/>
        </w:pict>
      </w:r>
    </w:p>
    <w:bookmarkEnd w:id="38"/>
    <w:bookmarkEnd w:id="39"/>
    <w:bookmarkStart w:id="43" w:name="comparative-and-philosophical-context"/>
    <w:p>
      <w:pPr>
        <w:pStyle w:val="Heading2"/>
      </w:pPr>
      <w:r>
        <w:t xml:space="preserve">5 Comparative and Philosophical Context</w:t>
      </w:r>
    </w:p>
    <w:bookmarkStart w:id="40" w:name="position-within-intellectual-traditions"/>
    <w:p>
      <w:pPr>
        <w:pStyle w:val="Heading3"/>
      </w:pPr>
      <w:r>
        <w:t xml:space="preserve">5.1 Position within intellectual traditions</w:t>
      </w:r>
    </w:p>
    <w:p>
      <w:pPr>
        <w:pStyle w:val="FirstParagraph"/>
      </w:pPr>
      <w:r>
        <w:rPr>
          <w:b/>
          <w:bCs/>
        </w:rPr>
        <w:t xml:space="preserve">Kuhnian paradigms.</w:t>
      </w:r>
      <w:r>
        <w:t xml:space="preserve"> </w:t>
      </w:r>
      <w:r>
        <w:t xml:space="preserve">Transient Expertise challenges the notion of dominant disciplinary paradigms by enabling individuals to fluidly adopt frameworks across fields. Instead of revolutionary shifts within a field, we may see micro‑paradigm shifts tailored to specific problems. Normal science becomes dynamic bricolage. The paradigm concept itself may require revision to account for transient configurability.</w:t>
      </w:r>
    </w:p>
    <w:p>
      <w:pPr>
        <w:pStyle w:val="BodyText"/>
      </w:pPr>
      <w:r>
        <w:rPr>
          <w:b/>
          <w:bCs/>
        </w:rPr>
        <w:t xml:space="preserve">Popperian falsifiability.</w:t>
      </w:r>
      <w:r>
        <w:t xml:space="preserve"> </w:t>
      </w:r>
      <w:r>
        <w:t xml:space="preserve">The anti‑narrative reflex aligns with Karl Popper’s insistence on falsifiability. Constructs remain provisional and are exposed to potential refutation via recursive questioning. However, the transient context means models may be discarded before full empirical testing; thus, Popperian rigor must be balanced with pragmatic time constraints.</w:t>
      </w:r>
    </w:p>
    <w:p>
      <w:pPr>
        <w:pStyle w:val="BodyText"/>
      </w:pPr>
      <w:r>
        <w:rPr>
          <w:b/>
          <w:bCs/>
        </w:rPr>
        <w:t xml:space="preserve">Poststructural epistemology.</w:t>
      </w:r>
      <w:r>
        <w:t xml:space="preserve"> </w:t>
      </w:r>
      <w:r>
        <w:t xml:space="preserve">Poststructuralists emphasise the contingency of knowledge and the instability of meanings. Transient Expertise embraces this fluidity by allowing constructs to emerge and dissolve. Yet, it also seeks to construct temporary scaffolds to orient action. It navigates between deconstruction and pragmatic synthesis.</w:t>
      </w:r>
    </w:p>
    <w:bookmarkEnd w:id="40"/>
    <w:bookmarkStart w:id="41" w:name="comparison-with-cognitive-typologies"/>
    <w:p>
      <w:pPr>
        <w:pStyle w:val="Heading3"/>
      </w:pPr>
      <w:r>
        <w:t xml:space="preserve">5.2 Comparison with cognitive typologies</w:t>
      </w:r>
    </w:p>
    <w:p>
      <w:pPr>
        <w:pStyle w:val="FirstParagraph"/>
      </w:pPr>
      <w:r>
        <w:t xml:space="preserve">Transient Expertise interacts with several models:</w:t>
      </w:r>
    </w:p>
    <w:p>
      <w:pPr>
        <w:numPr>
          <w:ilvl w:val="0"/>
          <w:numId w:val="1005"/>
        </w:numPr>
      </w:pPr>
      <w:r>
        <w:rPr>
          <w:b/>
          <w:bCs/>
        </w:rPr>
        <w:t xml:space="preserve">Big Five traits.</w:t>
      </w:r>
      <w:r>
        <w:t xml:space="preserve"> </w:t>
      </w:r>
      <w:r>
        <w:t xml:space="preserve">Low Industriousness and high Volatility correspond to OMEF and FSI; high Openness supports symbolic abstraction. Understanding these traits helps identify individuals who may thrive in transient roles.</w:t>
      </w:r>
    </w:p>
    <w:p>
      <w:pPr>
        <w:numPr>
          <w:ilvl w:val="0"/>
          <w:numId w:val="1005"/>
        </w:numPr>
      </w:pPr>
      <w:r>
        <w:rPr>
          <w:b/>
          <w:bCs/>
        </w:rPr>
        <w:t xml:space="preserve">Gardner’s multiple intelligences.</w:t>
      </w:r>
      <w:r>
        <w:t xml:space="preserve"> </w:t>
      </w:r>
      <w:r>
        <w:t xml:space="preserve">Transient experts often draw upon spatial, logical–mathematical, interpersonal and intrapersonal intelligences simultaneously. The model highlights the need for integrated cognitive profiles rather than singular strengths.</w:t>
      </w:r>
    </w:p>
    <w:p>
      <w:pPr>
        <w:numPr>
          <w:ilvl w:val="0"/>
          <w:numId w:val="1005"/>
        </w:numPr>
      </w:pPr>
      <w:r>
        <w:rPr>
          <w:b/>
          <w:bCs/>
        </w:rPr>
        <w:t xml:space="preserve">Dual‑process theory.</w:t>
      </w:r>
      <w:r>
        <w:t xml:space="preserve"> </w:t>
      </w:r>
      <w:r>
        <w:t xml:space="preserve">System 1 (fast, associative) generates candidate constructs; System 2 (slow, analytic) tests and refines them. Transient Expertise may expand this to a</w:t>
      </w:r>
      <w:r>
        <w:t xml:space="preserve"> </w:t>
      </w:r>
      <w:r>
        <w:rPr>
          <w:b/>
          <w:bCs/>
        </w:rPr>
        <w:t xml:space="preserve">System 3</w:t>
      </w:r>
      <w:r>
        <w:t xml:space="preserve">, representing AI‑mediated cognition, which externalises and amplifies both processes.</w:t>
      </w:r>
    </w:p>
    <w:bookmarkEnd w:id="41"/>
    <w:bookmarkStart w:id="42" w:name="X7b3951f00b35c0ddb7189c14b2713377b7d16ee"/>
    <w:p>
      <w:pPr>
        <w:pStyle w:val="Heading3"/>
      </w:pPr>
      <w:r>
        <w:t xml:space="preserve">5.3 Critiques from credentialist and empiricist viewpoints</w:t>
      </w:r>
    </w:p>
    <w:p>
      <w:pPr>
        <w:pStyle w:val="FirstParagraph"/>
      </w:pPr>
      <w:r>
        <w:t xml:space="preserve">Credentialists may argue that transient expertise undermines standards, enabling superficial solutions and elevating unqualified voices. Empiricists may question whether rapid synthesis can produce models with sufficient empirical grounding. These critiques highlight real risks: the potential for</w:t>
      </w:r>
      <w:r>
        <w:t xml:space="preserve"> </w:t>
      </w:r>
      <w:r>
        <w:rPr>
          <w:b/>
          <w:bCs/>
        </w:rPr>
        <w:t xml:space="preserve">Dunning–Kruger masking</w:t>
      </w:r>
      <w:r>
        <w:t xml:space="preserve">, where individuals overestimate their understanding;</w:t>
      </w:r>
      <w:r>
        <w:t xml:space="preserve"> </w:t>
      </w:r>
      <w:r>
        <w:rPr>
          <w:b/>
          <w:bCs/>
        </w:rPr>
        <w:t xml:space="preserve">confirmation bias</w:t>
      </w:r>
      <w:r>
        <w:t xml:space="preserve">, where resonance is mistaken for truth; and</w:t>
      </w:r>
      <w:r>
        <w:t xml:space="preserve"> </w:t>
      </w:r>
      <w:r>
        <w:rPr>
          <w:b/>
          <w:bCs/>
        </w:rPr>
        <w:t xml:space="preserve">short‑termism</w:t>
      </w:r>
      <w:r>
        <w:t xml:space="preserve">, where long‑range consequences are overlooked. Addressing these critiques requires clear standards for evidentiary grounding, transparent documentation of processes and collaborative oversight that includes domain experts.</w:t>
      </w:r>
    </w:p>
    <w:p>
      <w:r>
        <w:pict>
          <v:rect style="width:0;height:1.5pt" o:hralign="center" o:hrstd="t" o:hr="t"/>
        </w:pict>
      </w:r>
    </w:p>
    <w:bookmarkEnd w:id="42"/>
    <w:bookmarkEnd w:id="43"/>
    <w:bookmarkStart w:id="46" w:name="counterarguments-and-risk-model"/>
    <w:p>
      <w:pPr>
        <w:pStyle w:val="Heading2"/>
      </w:pPr>
      <w:r>
        <w:t xml:space="preserve">6 Counterarguments and Risk Model</w:t>
      </w:r>
    </w:p>
    <w:bookmarkStart w:id="44" w:name="skeptical-critiques"/>
    <w:p>
      <w:pPr>
        <w:pStyle w:val="Heading3"/>
      </w:pPr>
      <w:r>
        <w:t xml:space="preserve">6.1 Skeptical critiques</w:t>
      </w:r>
    </w:p>
    <w:p>
      <w:pPr>
        <w:numPr>
          <w:ilvl w:val="0"/>
          <w:numId w:val="1006"/>
        </w:numPr>
      </w:pPr>
      <w:r>
        <w:rPr>
          <w:b/>
          <w:bCs/>
        </w:rPr>
        <w:t xml:space="preserve">Dunning–Kruger masking.</w:t>
      </w:r>
      <w:r>
        <w:t xml:space="preserve"> </w:t>
      </w:r>
      <w:r>
        <w:t xml:space="preserve">Untrained individuals may misjudge their expertise, producing flawed models that nevertheless appear plausible. Without credentials, clients or stakeholders may be unable to discern quality.</w:t>
      </w:r>
    </w:p>
    <w:p>
      <w:pPr>
        <w:numPr>
          <w:ilvl w:val="0"/>
          <w:numId w:val="1006"/>
        </w:numPr>
      </w:pPr>
      <w:r>
        <w:rPr>
          <w:b/>
          <w:bCs/>
        </w:rPr>
        <w:t xml:space="preserve">Overreliance on AI.</w:t>
      </w:r>
      <w:r>
        <w:t xml:space="preserve"> </w:t>
      </w:r>
      <w:r>
        <w:t xml:space="preserve">Dependence on AI tools could erode human understanding and allow model biases to propagate unchecked. If AI outputs are taken at face value, errors may compound.</w:t>
      </w:r>
    </w:p>
    <w:p>
      <w:pPr>
        <w:numPr>
          <w:ilvl w:val="0"/>
          <w:numId w:val="1006"/>
        </w:numPr>
      </w:pPr>
      <w:r>
        <w:rPr>
          <w:b/>
          <w:bCs/>
        </w:rPr>
        <w:t xml:space="preserve">Transferability limitations.</w:t>
      </w:r>
      <w:r>
        <w:t xml:space="preserve"> </w:t>
      </w:r>
      <w:r>
        <w:t xml:space="preserve">Skills learned in one transient engagement may not transfer to others; symbolic constructs may be context‑bound, reducing reusability.</w:t>
      </w:r>
    </w:p>
    <w:p>
      <w:pPr>
        <w:numPr>
          <w:ilvl w:val="0"/>
          <w:numId w:val="1006"/>
        </w:numPr>
      </w:pPr>
      <w:r>
        <w:rPr>
          <w:b/>
          <w:bCs/>
        </w:rPr>
        <w:t xml:space="preserve">Institutional resistance.</w:t>
      </w:r>
      <w:r>
        <w:t xml:space="preserve"> </w:t>
      </w:r>
      <w:r>
        <w:t xml:space="preserve">Established professions and regulatory bodies may resist transient models, viewing them as threats to quality control and professional authority.</w:t>
      </w:r>
    </w:p>
    <w:bookmarkEnd w:id="44"/>
    <w:bookmarkStart w:id="45" w:name="responses-and-mitigation"/>
    <w:p>
      <w:pPr>
        <w:pStyle w:val="Heading3"/>
      </w:pPr>
      <w:r>
        <w:t xml:space="preserve">6.2 Responses and mitigation</w:t>
      </w:r>
    </w:p>
    <w:p>
      <w:pPr>
        <w:numPr>
          <w:ilvl w:val="0"/>
          <w:numId w:val="1007"/>
        </w:numPr>
      </w:pPr>
      <w:r>
        <w:rPr>
          <w:b/>
          <w:bCs/>
        </w:rPr>
        <w:t xml:space="preserve">Quality assurance frameworks.</w:t>
      </w:r>
      <w:r>
        <w:t xml:space="preserve"> </w:t>
      </w:r>
      <w:r>
        <w:t xml:space="preserve">Establish peer‑review mechanisms for transient outputs; involve domain experts in evaluation; use trait–construct matrices to document assumptions and evidence.</w:t>
      </w:r>
    </w:p>
    <w:p>
      <w:pPr>
        <w:numPr>
          <w:ilvl w:val="0"/>
          <w:numId w:val="1007"/>
        </w:numPr>
      </w:pPr>
      <w:r>
        <w:rPr>
          <w:b/>
          <w:bCs/>
        </w:rPr>
        <w:t xml:space="preserve">AI interpretability and diversity.</w:t>
      </w:r>
      <w:r>
        <w:t xml:space="preserve"> </w:t>
      </w:r>
      <w:r>
        <w:t xml:space="preserve">Employ multiple AI models to cross‑validate outputs; develop tools that explain AI reasoning; maintain human oversight. emphasises that AI cannot originate lived experience, highlighting the need for human judgment.</w:t>
      </w:r>
    </w:p>
    <w:p>
      <w:pPr>
        <w:numPr>
          <w:ilvl w:val="0"/>
          <w:numId w:val="1007"/>
        </w:numPr>
      </w:pPr>
      <w:r>
        <w:rPr>
          <w:b/>
          <w:bCs/>
        </w:rPr>
        <w:t xml:space="preserve">Transfer learning protocols.</w:t>
      </w:r>
      <w:r>
        <w:t xml:space="preserve"> </w:t>
      </w:r>
      <w:r>
        <w:t xml:space="preserve">Document models clearly; maintain libraries of constructs with metadata; enable training in meta‑skills to improve adaptability across domains.</w:t>
      </w:r>
    </w:p>
    <w:p>
      <w:pPr>
        <w:numPr>
          <w:ilvl w:val="0"/>
          <w:numId w:val="1007"/>
        </w:numPr>
      </w:pPr>
      <w:r>
        <w:rPr>
          <w:b/>
          <w:bCs/>
        </w:rPr>
        <w:t xml:space="preserve">Institutional integration.</w:t>
      </w:r>
      <w:r>
        <w:t xml:space="preserve"> </w:t>
      </w:r>
      <w:r>
        <w:t xml:space="preserve">Work with professional bodies to develop hybrid roles; demonstrate value through pilot projects; address ethical concerns transparently.</w:t>
      </w:r>
    </w:p>
    <w:p>
      <w:r>
        <w:pict>
          <v:rect style="width:0;height:1.5pt" o:hralign="center" o:hrstd="t" o:hr="t"/>
        </w:pict>
      </w:r>
    </w:p>
    <w:bookmarkEnd w:id="45"/>
    <w:bookmarkEnd w:id="46"/>
    <w:bookmarkStart w:id="51" w:name="X754d829006879d1a98409eaaf7c3bb9b19fdda9"/>
    <w:p>
      <w:pPr>
        <w:pStyle w:val="Heading2"/>
      </w:pPr>
      <w:r>
        <w:t xml:space="preserve">7 Future Implications and Ontological Shift</w:t>
      </w:r>
    </w:p>
    <w:bookmarkStart w:id="47" w:name="reframing-the-labour-market"/>
    <w:p>
      <w:pPr>
        <w:pStyle w:val="Heading3"/>
      </w:pPr>
      <w:r>
        <w:t xml:space="preserve">7.1 Reframing the labour market</w:t>
      </w:r>
    </w:p>
    <w:p>
      <w:pPr>
        <w:pStyle w:val="FirstParagraph"/>
      </w:pPr>
      <w:r>
        <w:t xml:space="preserve">Transient Expertise could dismantle the credentialed labour hierarchy. Work becomes project‑based and competence is assessed by problem portfolios rather than degrees. Labour markets may stratify into orchestrators, transient specialists and implementation teams. Income models may shift towards outcome‑based payments, raising questions about job security and benefits. Unions or cooperatives of transient practitioners could emerge to protect rights and negotiate standards.</w:t>
      </w:r>
    </w:p>
    <w:bookmarkEnd w:id="47"/>
    <w:bookmarkStart w:id="48" w:name="transforming-educational-credentialing"/>
    <w:p>
      <w:pPr>
        <w:pStyle w:val="Heading3"/>
      </w:pPr>
      <w:r>
        <w:t xml:space="preserve">7.2 Transforming educational credentialing</w:t>
      </w:r>
    </w:p>
    <w:p>
      <w:pPr>
        <w:pStyle w:val="FirstParagraph"/>
      </w:pPr>
      <w:r>
        <w:t xml:space="preserve">Degrees may give way to</w:t>
      </w:r>
      <w:r>
        <w:t xml:space="preserve"> </w:t>
      </w:r>
      <w:r>
        <w:rPr>
          <w:b/>
          <w:bCs/>
        </w:rPr>
        <w:t xml:space="preserve">dynamic accreditation</w:t>
      </w:r>
      <w:r>
        <w:t xml:space="preserve">, where learners accrue badges for solving specific classes of problems. Accreditation bodies might focus on verifying process quality, ethical compliance and reflective documentation. This could democratise access to knowledge work but also create challenges in maintaining consistency and trust.</w:t>
      </w:r>
    </w:p>
    <w:bookmarkEnd w:id="48"/>
    <w:bookmarkStart w:id="49" w:name="Xcb6f7720b60b444256076135528a2c0fc4d8732"/>
    <w:p>
      <w:pPr>
        <w:pStyle w:val="Heading3"/>
      </w:pPr>
      <w:r>
        <w:t xml:space="preserve">7.3 Reconfiguring the ontology of human knowledge</w:t>
      </w:r>
    </w:p>
    <w:p>
      <w:pPr>
        <w:pStyle w:val="FirstParagraph"/>
      </w:pPr>
      <w:r>
        <w:t xml:space="preserve">Traditional knowledge is organised by disciplines and stored in static texts. Transient Expertise implies a more fluid ontology: knowledge exists as</w:t>
      </w:r>
      <w:r>
        <w:t xml:space="preserve"> </w:t>
      </w:r>
      <w:r>
        <w:rPr>
          <w:b/>
          <w:bCs/>
        </w:rPr>
        <w:t xml:space="preserve">living constellations</w:t>
      </w:r>
      <w:r>
        <w:t xml:space="preserve"> </w:t>
      </w:r>
      <w:r>
        <w:t xml:space="preserve">of constructs, emerging in response to context and dissolving when no longer needed. This demands new archival practices—dynamic libraries that track the evolution of constructs and their dependencies.</w:t>
      </w:r>
    </w:p>
    <w:bookmarkEnd w:id="49"/>
    <w:bookmarkStart w:id="50" w:name="X6a37dad76f6252e7a9d4d9014849ad308af7eef"/>
    <w:p>
      <w:pPr>
        <w:pStyle w:val="Heading3"/>
      </w:pPr>
      <w:r>
        <w:t xml:space="preserve">7.4 Ethical, political and technological implications</w:t>
      </w:r>
    </w:p>
    <w:p>
      <w:pPr>
        <w:pStyle w:val="FirstParagraph"/>
      </w:pPr>
      <w:r>
        <w:t xml:space="preserve">Ethically, societies must balance openness with accountability; ensure equitable access to AI tools; and protect neurodivergent individuals from exploitation. Politically, transient expertise may disrupt licensure regimes, prompting legal reforms. Technologically, new platforms must prioritise interpretability, security and user agency. A failure to address these dimensions could lead to cognitive inequality, knowledge fragmentation and loss of trust.</w:t>
      </w:r>
    </w:p>
    <w:p>
      <w:r>
        <w:pict>
          <v:rect style="width:0;height:1.5pt" o:hralign="center" o:hrstd="t" o:hr="t"/>
        </w:pict>
      </w:r>
    </w:p>
    <w:bookmarkEnd w:id="50"/>
    <w:bookmarkEnd w:id="51"/>
    <w:bookmarkStart w:id="54" w:name="appendix-conceptual-taxonomy-and-models"/>
    <w:p>
      <w:pPr>
        <w:pStyle w:val="Heading2"/>
      </w:pPr>
      <w:r>
        <w:t xml:space="preserve">8 Appendix: Conceptual Taxonomy and Models</w:t>
      </w:r>
    </w:p>
    <w:bookmarkStart w:id="52" w:name="symbolic-glossary"/>
    <w:p>
      <w:pPr>
        <w:pStyle w:val="Heading3"/>
      </w:pPr>
      <w:r>
        <w:t xml:space="preserve">8.1 Symbolic glossary</w:t>
      </w:r>
    </w:p>
    <w:p>
      <w:pPr>
        <w:pStyle w:val="Compact"/>
        <w:numPr>
          <w:ilvl w:val="0"/>
          <w:numId w:val="1008"/>
        </w:numPr>
      </w:pPr>
      <w:r>
        <w:rPr>
          <w:b/>
          <w:bCs/>
        </w:rPr>
        <w:t xml:space="preserve">Resonance:</w:t>
      </w:r>
      <w:r>
        <w:t xml:space="preserve"> </w:t>
      </w:r>
      <w:r>
        <w:t xml:space="preserve">Alignment between a problem and an individual’s internal ontology, triggering engagement.</w:t>
      </w:r>
    </w:p>
    <w:p>
      <w:pPr>
        <w:pStyle w:val="Compact"/>
        <w:numPr>
          <w:ilvl w:val="0"/>
          <w:numId w:val="1008"/>
        </w:numPr>
      </w:pPr>
      <w:r>
        <w:rPr>
          <w:b/>
          <w:bCs/>
        </w:rPr>
        <w:t xml:space="preserve">OMEF (Ontologically Modulated Executive Function):</w:t>
      </w:r>
      <w:r>
        <w:t xml:space="preserve"> </w:t>
      </w:r>
      <w:r>
        <w:t xml:space="preserve">Executive gate that opens when resonance is high.</w:t>
      </w:r>
    </w:p>
    <w:p>
      <w:pPr>
        <w:pStyle w:val="Compact"/>
        <w:numPr>
          <w:ilvl w:val="0"/>
          <w:numId w:val="1008"/>
        </w:numPr>
      </w:pPr>
      <w:r>
        <w:rPr>
          <w:b/>
          <w:bCs/>
        </w:rPr>
        <w:t xml:space="preserve">FSI (False‑Structure Intolerance):</w:t>
      </w:r>
      <w:r>
        <w:t xml:space="preserve"> </w:t>
      </w:r>
      <w:r>
        <w:t xml:space="preserve">Veto mechanism that shuts down engagement in response to incoherent structures.</w:t>
      </w:r>
    </w:p>
    <w:p>
      <w:pPr>
        <w:pStyle w:val="Compact"/>
        <w:numPr>
          <w:ilvl w:val="0"/>
          <w:numId w:val="1008"/>
        </w:numPr>
      </w:pPr>
      <w:r>
        <w:rPr>
          <w:b/>
          <w:bCs/>
        </w:rPr>
        <w:t xml:space="preserve">SCMF (State‑Contingent Motivational Filtering):</w:t>
      </w:r>
      <w:r>
        <w:t xml:space="preserve"> </w:t>
      </w:r>
      <w:r>
        <w:t xml:space="preserve">Oscillatory motivation based on state alignment.</w:t>
      </w:r>
    </w:p>
    <w:p>
      <w:pPr>
        <w:pStyle w:val="Compact"/>
        <w:numPr>
          <w:ilvl w:val="0"/>
          <w:numId w:val="1008"/>
        </w:numPr>
      </w:pPr>
      <w:r>
        <w:rPr>
          <w:b/>
          <w:bCs/>
        </w:rPr>
        <w:t xml:space="preserve">Symbolic Compression:</w:t>
      </w:r>
      <w:r>
        <w:t xml:space="preserve"> </w:t>
      </w:r>
      <w:r>
        <w:t xml:space="preserve">Condensing complex information into concise constructs through recursive abstraction.</w:t>
      </w:r>
    </w:p>
    <w:p>
      <w:pPr>
        <w:pStyle w:val="Compact"/>
        <w:numPr>
          <w:ilvl w:val="0"/>
          <w:numId w:val="1008"/>
        </w:numPr>
      </w:pPr>
      <w:r>
        <w:rPr>
          <w:b/>
          <w:bCs/>
        </w:rPr>
        <w:t xml:space="preserve">Anti‑Narrative Reflex:</w:t>
      </w:r>
      <w:r>
        <w:t xml:space="preserve"> </w:t>
      </w:r>
      <w:r>
        <w:t xml:space="preserve">Meta‑cognitive practice of challenging premature coherence and seeking falsification.</w:t>
      </w:r>
    </w:p>
    <w:p>
      <w:pPr>
        <w:pStyle w:val="Compact"/>
        <w:numPr>
          <w:ilvl w:val="0"/>
          <w:numId w:val="1008"/>
        </w:numPr>
      </w:pPr>
      <w:r>
        <w:rPr>
          <w:b/>
          <w:bCs/>
        </w:rPr>
        <w:t xml:space="preserve">Epistemic Resonance:</w:t>
      </w:r>
      <w:r>
        <w:t xml:space="preserve"> </w:t>
      </w:r>
      <w:r>
        <w:t xml:space="preserve">Felt coherence between internal models and external data.</w:t>
      </w:r>
    </w:p>
    <w:p>
      <w:pPr>
        <w:pStyle w:val="Compact"/>
        <w:numPr>
          <w:ilvl w:val="0"/>
          <w:numId w:val="1008"/>
        </w:numPr>
      </w:pPr>
      <w:r>
        <w:rPr>
          <w:b/>
          <w:bCs/>
        </w:rPr>
        <w:t xml:space="preserve">Gestural Cognition:</w:t>
      </w:r>
      <w:r>
        <w:t xml:space="preserve"> </w:t>
      </w:r>
      <w:r>
        <w:t xml:space="preserve">Use of physical gestures and diagrams to externalise and refine abstract reasoning.</w:t>
      </w:r>
    </w:p>
    <w:p>
      <w:pPr>
        <w:pStyle w:val="Compact"/>
        <w:numPr>
          <w:ilvl w:val="0"/>
          <w:numId w:val="1008"/>
        </w:numPr>
      </w:pPr>
      <w:r>
        <w:rPr>
          <w:b/>
          <w:bCs/>
        </w:rPr>
        <w:t xml:space="preserve">Orchestration Engineer:</w:t>
      </w:r>
      <w:r>
        <w:t xml:space="preserve"> </w:t>
      </w:r>
      <w:r>
        <w:t xml:space="preserve">Role that coordinates transient experts, tools and problem definitions.</w:t>
      </w:r>
    </w:p>
    <w:bookmarkEnd w:id="52"/>
    <w:bookmarkStart w:id="53" w:name="concept-map-description-optional"/>
    <w:p>
      <w:pPr>
        <w:pStyle w:val="Heading3"/>
      </w:pPr>
      <w:r>
        <w:t xml:space="preserve">8.2 Concept map description (optional)</w:t>
      </w:r>
    </w:p>
    <w:p>
      <w:pPr>
        <w:pStyle w:val="FirstParagraph"/>
      </w:pPr>
      <w:r>
        <w:t xml:space="preserve">A concept map of Transient Expertise would position</w:t>
      </w:r>
      <w:r>
        <w:t xml:space="preserve"> </w:t>
      </w:r>
      <w:r>
        <w:rPr>
          <w:b/>
          <w:bCs/>
        </w:rPr>
        <w:t xml:space="preserve">Resonance</w:t>
      </w:r>
      <w:r>
        <w:t xml:space="preserve"> </w:t>
      </w:r>
      <w:r>
        <w:t xml:space="preserve">at the centre, linking to OMEF, FSI and SCMF as regulatory nodes. Branches would extend to</w:t>
      </w:r>
      <w:r>
        <w:t xml:space="preserve"> </w:t>
      </w:r>
      <w:r>
        <w:rPr>
          <w:b/>
          <w:bCs/>
        </w:rPr>
        <w:t xml:space="preserve">Symbolic Compression</w:t>
      </w:r>
      <w:r>
        <w:t xml:space="preserve">,</w:t>
      </w:r>
      <w:r>
        <w:t xml:space="preserve"> </w:t>
      </w:r>
      <w:r>
        <w:rPr>
          <w:b/>
          <w:bCs/>
        </w:rPr>
        <w:t xml:space="preserve">Gestural Cognition</w:t>
      </w:r>
      <w:r>
        <w:t xml:space="preserve"> </w:t>
      </w:r>
      <w:r>
        <w:t xml:space="preserve">and</w:t>
      </w:r>
      <w:r>
        <w:t xml:space="preserve"> </w:t>
      </w:r>
      <w:r>
        <w:rPr>
          <w:b/>
          <w:bCs/>
        </w:rPr>
        <w:t xml:space="preserve">Epistemic Resonance</w:t>
      </w:r>
      <w:r>
        <w:t xml:space="preserve">, which feed into</w:t>
      </w:r>
      <w:r>
        <w:t xml:space="preserve"> </w:t>
      </w:r>
      <w:r>
        <w:rPr>
          <w:b/>
          <w:bCs/>
        </w:rPr>
        <w:t xml:space="preserve">Transient Activation Mechanics</w:t>
      </w:r>
      <w:r>
        <w:t xml:space="preserve">. Surrounding this core are layers representing</w:t>
      </w:r>
      <w:r>
        <w:t xml:space="preserve"> </w:t>
      </w:r>
      <w:r>
        <w:rPr>
          <w:b/>
          <w:bCs/>
        </w:rPr>
        <w:t xml:space="preserve">Educational Models</w:t>
      </w:r>
      <w:r>
        <w:t xml:space="preserve">,</w:t>
      </w:r>
      <w:r>
        <w:t xml:space="preserve"> </w:t>
      </w:r>
      <w:r>
        <w:rPr>
          <w:b/>
          <w:bCs/>
        </w:rPr>
        <w:t xml:space="preserve">Organisational Structures</w:t>
      </w:r>
      <w:r>
        <w:t xml:space="preserve"> </w:t>
      </w:r>
      <w:r>
        <w:t xml:space="preserve">and</w:t>
      </w:r>
      <w:r>
        <w:t xml:space="preserve"> </w:t>
      </w:r>
      <w:r>
        <w:rPr>
          <w:b/>
          <w:bCs/>
        </w:rPr>
        <w:t xml:space="preserve">Societal Functions</w:t>
      </w:r>
      <w:r>
        <w:t xml:space="preserve">, each connected by arrows indicating flows of constructs, feedback and resources. A risk ring encircles the entire map, highlighting potential pitfalls (Dunning–Kruger, overreliance on AI, institutional resistance) and pointing to mitigation strategies (quality assurance, interpretability, integration).</w:t>
      </w:r>
    </w:p>
    <w:p>
      <w:r>
        <w:pict>
          <v:rect style="width:0;height:1.5pt" o:hralign="center" o:hrstd="t" o:hr="t"/>
        </w:pict>
      </w:r>
    </w:p>
    <w:bookmarkEnd w:id="53"/>
    <w:bookmarkEnd w:id="54"/>
    <w:bookmarkStart w:id="55" w:name="conclusion"/>
    <w:p>
      <w:pPr>
        <w:pStyle w:val="Heading2"/>
      </w:pPr>
      <w:r>
        <w:t xml:space="preserve">9 Conclusion</w:t>
      </w:r>
    </w:p>
    <w:p>
      <w:pPr>
        <w:pStyle w:val="FirstParagraph"/>
      </w:pPr>
      <w:r>
        <w:t xml:space="preserve">This synthesis integrates insights from multiple high‑tier analyses into a unified framework for understanding and implementing Transient Expertise. It articulates the symbolic architecture, mechanics of activation, meta‑cognitive feedback loops, and real‑world pathways for education, organisations and society. It situates the concept within broader philosophical and cognitive contexts, anticipates critiques and risks, and projects future implications for labour, credentialing and the ontology of knowledge. Transient Expertise challenges us to reconceive expertise as fluid, resonance‑driven and collectively constructed. Realising its potential will require careful design of tools, ethical safeguards, and cultural shifts that value provisional knowledge and dynamic collaboration.</w:t>
      </w:r>
    </w:p>
    <w:bookmarkEnd w:id="55"/>
    <w:bookmarkEnd w:id="56"/>
    <w:bookmarkEnd w:id="57"/>
    <w:p>
      <w:r>
        <w:pict>
          <v:rect style="width:0;height:1.5pt" o:hralign="center" o:hrstd="t" o:hr="t"/>
        </w:pict>
      </w:r>
    </w:p>
    <w:bookmarkStart w:id="58" w:name="citations"/>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2025-08-02T04:42:48Z</dcterms:created>
  <dcterms:modified xsi:type="dcterms:W3CDTF">2025-08-02T04:42:48Z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